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10" w:lineRule="exact"/>
        <w:rPr>
          <w:sz w:val="24"/>
          <w:szCs w:val="24"/>
          <w:color w:val="auto"/>
        </w:rPr>
      </w:pPr>
    </w:p>
    <w:p>
      <w:pPr>
        <w:ind w:left="700" w:hanging="674"/>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27, 2026</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8" w:lineRule="exact"/>
        <w:rPr>
          <w:sz w:val="24"/>
          <w:szCs w:val="24"/>
          <w:color w:val="auto"/>
        </w:rPr>
      </w:pPr>
    </w:p>
    <w:p>
      <w:pPr>
        <w:ind w:left="700" w:hanging="674"/>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3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 to _________</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001-35249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105410</wp:posOffset>
            </wp:positionV>
            <wp:extent cx="1645920"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THE CHEFS’ WAREHOUSE,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74" w:lineRule="exact"/>
        <w:rPr>
          <w:sz w:val="24"/>
          <w:szCs w:val="24"/>
          <w:color w:val="auto"/>
        </w:rPr>
      </w:pPr>
    </w:p>
    <w:p>
      <w:pPr>
        <w:ind w:left="2400"/>
        <w:spacing w:after="0"/>
        <w:tabs>
          <w:tab w:leader="none" w:pos="800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20-3031526</w:t>
      </w:r>
    </w:p>
    <w:p>
      <w:pPr>
        <w:spacing w:after="0" w:line="15" w:lineRule="exact"/>
        <w:rPr>
          <w:sz w:val="24"/>
          <w:szCs w:val="24"/>
          <w:color w:val="auto"/>
        </w:rPr>
      </w:pPr>
    </w:p>
    <w:p>
      <w:pPr>
        <w:ind w:left="1640"/>
        <w:spacing w:after="0"/>
        <w:tabs>
          <w:tab w:leader="none" w:pos="7780" w:val="left"/>
        </w:tabs>
        <w:rPr>
          <w:sz w:val="20"/>
          <w:szCs w:val="20"/>
          <w:color w:val="auto"/>
        </w:rPr>
      </w:pPr>
      <w:r>
        <w:rPr>
          <w:rFonts w:ascii="Times New Roman" w:cs="Times New Roman" w:eastAsia="Times New Roman" w:hAnsi="Times New Roman"/>
          <w:sz w:val="18"/>
          <w:szCs w:val="18"/>
          <w:b w:val="1"/>
          <w:bCs w:val="1"/>
          <w:color w:val="auto"/>
        </w:rPr>
        <w:t>(State or other jurisdiction of</w:t>
      </w:r>
      <w:r>
        <w:rPr>
          <w:sz w:val="20"/>
          <w:szCs w:val="20"/>
          <w:color w:val="auto"/>
        </w:rPr>
        <w:tab/>
      </w:r>
      <w:r>
        <w:rPr>
          <w:rFonts w:ascii="Times New Roman" w:cs="Times New Roman" w:eastAsia="Times New Roman" w:hAnsi="Times New Roman"/>
          <w:sz w:val="17"/>
          <w:szCs w:val="17"/>
          <w:b w:val="1"/>
          <w:bCs w:val="1"/>
          <w:color w:val="auto"/>
        </w:rPr>
        <w:t>(I.R.S. Employer</w:t>
      </w:r>
    </w:p>
    <w:p>
      <w:pPr>
        <w:ind w:left="1580"/>
        <w:spacing w:after="0"/>
        <w:tabs>
          <w:tab w:leader="none" w:pos="7740" w:val="left"/>
        </w:tabs>
        <w:rPr>
          <w:sz w:val="20"/>
          <w:szCs w:val="20"/>
          <w:color w:val="auto"/>
        </w:rPr>
      </w:pPr>
      <w:r>
        <w:rPr>
          <w:rFonts w:ascii="Times New Roman" w:cs="Times New Roman" w:eastAsia="Times New Roman" w:hAnsi="Times New Roman"/>
          <w:sz w:val="18"/>
          <w:szCs w:val="18"/>
          <w:b w:val="1"/>
          <w:bCs w:val="1"/>
          <w:color w:val="auto"/>
        </w:rPr>
        <w:t>incorporation or organization)</w:t>
      </w:r>
      <w:r>
        <w:rPr>
          <w:sz w:val="20"/>
          <w:szCs w:val="20"/>
          <w:color w:val="auto"/>
        </w:rPr>
        <w:tab/>
      </w:r>
      <w:r>
        <w:rPr>
          <w:rFonts w:ascii="Times New Roman" w:cs="Times New Roman" w:eastAsia="Times New Roman" w:hAnsi="Times New Roman"/>
          <w:sz w:val="17"/>
          <w:szCs w:val="17"/>
          <w:b w:val="1"/>
          <w:bCs w:val="1"/>
          <w:color w:val="auto"/>
        </w:rPr>
        <w:t>Identification No.)</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 East Ridge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Ridgefield, Connecticut 06877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(203) 894-1345</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65"/>
        </w:trPr>
        <w:tc>
          <w:tcPr>
            <w:tcW w:w="1680" w:type="dxa"/>
            <w:vAlign w:val="bottom"/>
          </w:tcPr>
          <w:p>
            <w:pPr>
              <w:spacing w:after="0"/>
              <w:rPr>
                <w:sz w:val="24"/>
                <w:szCs w:val="24"/>
                <w:color w:val="auto"/>
              </w:rPr>
            </w:pPr>
          </w:p>
        </w:tc>
        <w:tc>
          <w:tcPr>
            <w:tcW w:w="284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45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360" w:type="dxa"/>
            <w:vAlign w:val="bottom"/>
          </w:tcPr>
          <w:p>
            <w:pPr>
              <w:spacing w:after="0"/>
              <w:rPr>
                <w:sz w:val="21"/>
                <w:szCs w:val="21"/>
                <w:color w:val="auto"/>
              </w:rPr>
            </w:pPr>
          </w:p>
        </w:tc>
        <w:tc>
          <w:tcPr>
            <w:tcW w:w="23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CHEF</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p>
      <w:pPr>
        <w:ind w:left="20"/>
        <w:spacing w:after="0" w:line="207" w:lineRule="exact"/>
        <w:tabs>
          <w:tab w:leader="none" w:pos="1900" w:val="left"/>
          <w:tab w:leader="none" w:pos="3660" w:val="left"/>
          <w:tab w:leader="none" w:pos="5760" w:val="left"/>
          <w:tab w:leader="none" w:pos="8340" w:val="left"/>
          <w:tab w:leader="none" w:pos="109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Accelerated filer</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Non-accelerated filer</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Smaller reporting company</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9" w:lineRule="exact"/>
        <w:rPr>
          <w:sz w:val="24"/>
          <w:szCs w:val="24"/>
          <w:color w:val="auto"/>
        </w:rPr>
      </w:pPr>
    </w:p>
    <w:p>
      <w:pPr>
        <w:ind w:right="184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Number of shares of common stock, par value $.01 per share, outstanding at April 24, 2026: 40,777,629</w:t>
      </w:r>
    </w:p>
    <w:p>
      <w:pPr>
        <w:sectPr>
          <w:pgSz w:w="11900" w:h="16838" w:orient="portrait"/>
          <w:cols w:equalWidth="0" w:num="1">
            <w:col w:w="11240"/>
          </w:cols>
          <w:pgMar w:left="320" w:top="786" w:right="339" w:bottom="1440" w:gutter="0" w:footer="0" w:header="0"/>
        </w:sect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80" w:type="dxa"/>
            <w:vAlign w:val="bottom"/>
            <w:gridSpan w:val="9"/>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THE CHEFS’ WAREHOUSE, INC.</w:t>
            </w:r>
          </w:p>
        </w:tc>
        <w:tc>
          <w:tcPr>
            <w:tcW w:w="5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5"/>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5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6"/>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520" w:type="dxa"/>
            <w:vAlign w:val="bottom"/>
            <w:tcBorders>
              <w:top w:val="single" w:sz="8" w:color="auto"/>
            </w:tcBorders>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Condensed Consolidated Financial Statements (unaudited):</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4</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4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1320" w:type="dxa"/>
            <w:vAlign w:val="bottom"/>
            <w:tcBorders>
              <w:top w:val="single" w:sz="8" w:color="0000FF"/>
            </w:tcBorders>
            <w:gridSpan w:val="3"/>
          </w:tcPr>
          <w:p>
            <w:pPr>
              <w:spacing w:after="0"/>
              <w:rPr>
                <w:sz w:val="24"/>
                <w:szCs w:val="24"/>
                <w:color w:val="auto"/>
              </w:rPr>
            </w:pPr>
          </w:p>
        </w:tc>
        <w:tc>
          <w:tcPr>
            <w:tcW w:w="2360" w:type="dxa"/>
            <w:vAlign w:val="bottom"/>
            <w:gridSpan w:val="6"/>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4</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5</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7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w:t>
            </w:r>
          </w:p>
        </w:tc>
        <w:tc>
          <w:tcPr>
            <w:tcW w:w="90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6</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1520" w:type="dxa"/>
            <w:vAlign w:val="bottom"/>
            <w:tcBorders>
              <w:top w:val="single" w:sz="8" w:color="0000FF"/>
            </w:tcBorders>
            <w:gridSpan w:val="4"/>
          </w:tcPr>
          <w:p>
            <w:pPr>
              <w:spacing w:after="0"/>
              <w:rPr>
                <w:sz w:val="24"/>
                <w:szCs w:val="24"/>
                <w:color w:val="auto"/>
              </w:rPr>
            </w:pPr>
          </w:p>
        </w:tc>
        <w:tc>
          <w:tcPr>
            <w:tcW w:w="1380" w:type="dxa"/>
            <w:vAlign w:val="bottom"/>
            <w:gridSpan w:val="4"/>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7</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2620" w:type="dxa"/>
            <w:vAlign w:val="bottom"/>
            <w:gridSpan w:val="7"/>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8</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15</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Quantitative and Qualitative Disclosures about Market Risk</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20</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Controls and Procedures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20</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4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5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20</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1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20</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1A.</w:t>
            </w:r>
          </w:p>
        </w:tc>
        <w:tc>
          <w:tcPr>
            <w:tcW w:w="662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4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2.</w:t>
            </w:r>
          </w:p>
        </w:tc>
        <w:tc>
          <w:tcPr>
            <w:tcW w:w="6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21</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2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Securities</w:t>
            </w:r>
          </w:p>
        </w:tc>
        <w:tc>
          <w:tcPr>
            <w:tcW w:w="5640" w:type="dxa"/>
            <w:vAlign w:val="bottom"/>
            <w:tcBorders>
              <w:top w:val="single" w:sz="8" w:color="0000FF"/>
            </w:tcBorders>
            <w:gridSpan w:val="13"/>
          </w:tcPr>
          <w:p>
            <w:pPr>
              <w:spacing w:after="0"/>
              <w:rPr>
                <w:sz w:val="13"/>
                <w:szCs w:val="13"/>
                <w:color w:val="auto"/>
              </w:rPr>
            </w:pPr>
          </w:p>
        </w:tc>
        <w:tc>
          <w:tcPr>
            <w:tcW w:w="26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Defaults Upon Senior Securities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21</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30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Mine Safety Disclosures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21</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60" w:type="dxa"/>
            <w:vAlign w:val="bottom"/>
            <w:tcBorders>
              <w:top w:val="single" w:sz="8" w:color="0000FF"/>
            </w:tcBorders>
            <w:gridSpan w:val="2"/>
          </w:tcPr>
          <w:p>
            <w:pPr>
              <w:spacing w:after="0"/>
              <w:rPr>
                <w:sz w:val="24"/>
                <w:szCs w:val="24"/>
                <w:color w:val="auto"/>
              </w:rPr>
            </w:pPr>
          </w:p>
        </w:tc>
        <w:tc>
          <w:tcPr>
            <w:tcW w:w="4840" w:type="dxa"/>
            <w:vAlign w:val="bottom"/>
            <w:gridSpan w:val="11"/>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21</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22</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20" w:type="dxa"/>
            <w:vAlign w:val="bottom"/>
            <w:gridSpan w:val="16"/>
          </w:tcPr>
          <w:p>
            <w:pPr>
              <w:spacing w:after="0" w:line="20" w:lineRule="exact"/>
              <w:rPr>
                <w:sz w:val="1"/>
                <w:szCs w:val="1"/>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23</w:t>
            </w: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20" w:type="dxa"/>
            <w:vAlign w:val="bottom"/>
          </w:tcPr>
          <w:p>
            <w:pPr>
              <w:spacing w:after="0"/>
              <w:rPr>
                <w:sz w:val="24"/>
                <w:szCs w:val="24"/>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20" w:type="dxa"/>
            <w:vAlign w:val="bottom"/>
            <w:vMerge w:val="continue"/>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120" w:type="dxa"/>
            <w:vAlign w:val="bottom"/>
            <w:gridSpan w:val="13"/>
          </w:tcPr>
          <w:p>
            <w:pPr>
              <w:jc w:val="center"/>
              <w:ind w:left="4470"/>
              <w:spacing w:after="0"/>
              <w:rPr>
                <w:sz w:val="20"/>
                <w:szCs w:val="20"/>
                <w:color w:val="auto"/>
              </w:rPr>
            </w:pPr>
            <w:r>
              <w:rPr>
                <w:rFonts w:ascii="Times New Roman" w:cs="Times New Roman" w:eastAsia="Times New Roman" w:hAnsi="Times New Roman"/>
                <w:sz w:val="18"/>
                <w:szCs w:val="18"/>
                <w:color w:val="auto"/>
                <w:w w:val="88"/>
              </w:rPr>
              <w:t>2</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Statements in this report regarding the business of The Chefs’ Warehouse, Inc. (the “Company”) that are not historical facts are “forward-looking statements” that involve risks and uncertainties and are based on current expectations and management estimates; actual results may differ materially. Words such as “anticipates”, “expects”, “predicts”, “contemplates”, “projects”, “forecasts”, “intends”, “plans”, “believes”, “seeks”, “estimates”, “could”, “should”, “will”, “may”, “would” and variations of these words and similar expressions are intended to identify forward-looking statements. These statements are not guarantees of future performance and are subject to risks, uncertainties and other factors, some of which are beyond our control, are difficult to predict and/or could cause actual results to differ materially from those expressed or forecasted in the forward-looking statements. The risks and uncertainties which could impact these statements include, but are not limited to the following: our success depends to a significant extent upon general economic conditions, including disposable income levels and changes in consumer discretionary spending; the relatively low margins of our business, which are sensitive to inflationary and deflationary pressures and intense competition; changes in our credit profile and any effect they may have on our relationships with suppliers; the effects of rising costs for and/or decreases in supply of commodities, ingredients, packaging, other raw materials, distribution and labor; price reductions by our manufacturers of products that we sell, which could cause the value of our inventory to decline or our customers to demand lower sales prices; fuel cost volatility and its impact on distribution, packaging and energy costs; our continued ability to promote our brand successfully, to anticipate and respond to new customer demands, and to develop new products and markets to compete effectively; our ability and the ability of our supply chain partners to continue to operate distribution centers and other work locations without material disruption, and to procure ingredients, packaging and other raw materials when needed despite disruptions in the supply chain or labor shortages; risks associated with the expansion of our business; our possible inability to identify new acquisitions or to integrate recent or future acquisitions, or our failure to realize anticipated revenue enhancements, cost savings or other synergies from recent or future acquisitions; other factors that affect the food industry generally, including: recalls if products become adulterated or misbranded, liability if product consumption causes injury, ingredient disclosure and labeling laws and regulations and the possibility that customers could lose confidence in the safety and quality of certain food products; new information or attitudes regarding diet and health or adverse opinions about the health effects of the products we distribute; dependence on independent certifications for products; changes in disposable income levels and consumer purchasing habits; competitors’ pricing practices and promotional spending levels; fluctuations in the level of our customers’ inventories and credit and other related business risks; and the risks associated with third-party suppliers, including the risk that any failure by one or more of our third-party suppliers to comply with food safety or other laws and regulations may disrupt our supply of raw materials or certain products or injure our reputation; our ability to recruit and retain senior management and a highly skilled and diverse workforce; unanticipated expenses, including, without limitation, litigation or legal settlement expenses, adverse judgments, or impairment charges; the cost and adequacy of our insurance policies; the impact and effects of public health crises, pandemics and epidemics and the adverse impact thereof on our business, financial condition, and results of operations; economic and other developments, or events, including adverse weather conditions, in the culinary markets in which we operate; information technology system failures, cybersecurity incidents, or other disruptions to our use of technology and networks; our ability to realize the benefits we anticipate from investments in information technology; our ability to protect our intellectual property; significant governmental regulation and any potential failure to comply with such regulation; changing rules, public disclosure regulations and stakeholder expectations on ESG-related matters; federal, state, provincial and local tax rules in the United States and the foreign countries in which we operate, including tax reform and legislation; climate change or the legal, regulatory or market measures being implemented to address climate change; the concentration of ownership among our existing executive officers, directors and their affiliates which may prevent new investors from influencing significant corporate decisions; risks relating to our substantial indebtedness; our ability to raise additional capital and/or obtain debt or other financing, on commercially reasonable terms or at all; our ability to meet future cash requirements, including the ability to access financial markets effectively and maintain sufficient liquidity; the effects of currency movements in the jurisdictions in which we operate as compared to the U.S. dollar; the effects of international trade disputes, tariffs, quotas and other import or export</w:t>
      </w:r>
    </w:p>
    <w:p>
      <w:pPr>
        <w:spacing w:after="0" w:line="2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restrictions on our international procurement, sales and operations; other factors discussed elsewhere in this report and in our other public filings with the Securities and Exchange Commission (“SEC”).</w:t>
      </w:r>
    </w:p>
    <w:p>
      <w:pPr>
        <w:spacing w:after="0" w:line="18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Any forward-looking statements are made pursuant to the Private Securities Litigation Reform Act of 1995, Section 27A of the Securities Act of 1933, as amended, and Section 21E of the Securities Exchange Act of 1934, as amended, and, as such, speak only as of the date made. A more detailed description of these and other risk factors is contained in the Company’s most recent Annual Report on Form 10-K filed with the SEC on February 24, 2026 and other reports, including this Quarterly Report on Form 10-Q, filed by the Company with the SEC since that date. The Company is not undertaking to update any information in the foregoing reports until the filing or effective dates of its future reports required by applicable laws.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27, 2026</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0" w:type="dxa"/>
            <w:vAlign w:val="bottom"/>
          </w:tcPr>
          <w:p>
            <w:pPr>
              <w:spacing w:after="0"/>
              <w:rPr>
                <w:sz w:val="1"/>
                <w:szCs w:val="1"/>
                <w:color w:val="auto"/>
              </w:rPr>
            </w:pPr>
          </w:p>
        </w:tc>
      </w:tr>
      <w:tr>
        <w:trPr>
          <w:trHeight w:val="223"/>
        </w:trPr>
        <w:tc>
          <w:tcPr>
            <w:tcW w:w="7140" w:type="dxa"/>
            <w:vAlign w:val="bottom"/>
            <w:tcBorders>
              <w:top w:val="single" w:sz="8" w:color="CCEEFF"/>
            </w:tcBorders>
            <w:shd w:val="clear" w:color="auto" w:fill="CCEEFF"/>
          </w:tcPr>
          <w:p>
            <w:pPr>
              <w:ind w:left="3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120,982</w:t>
            </w:r>
          </w:p>
        </w:tc>
        <w:tc>
          <w:tcPr>
            <w:tcW w:w="0" w:type="dxa"/>
            <w:vAlign w:val="bottom"/>
          </w:tcPr>
          <w:p>
            <w:pPr>
              <w:spacing w:after="0"/>
              <w:rPr>
                <w:sz w:val="1"/>
                <w:szCs w:val="1"/>
                <w:color w:val="auto"/>
              </w:rPr>
            </w:pPr>
          </w:p>
        </w:tc>
      </w:tr>
      <w:tr>
        <w:trPr>
          <w:trHeight w:val="229"/>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allowances ($29,247 in 2026, $26,965 in 2025)</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392,374</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385,722</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66,833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70,811</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969,889</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342,019</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205,270</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362,742</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137,310</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1,989,767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2,028,007</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233,025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275,622</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78,458</w:t>
            </w:r>
          </w:p>
        </w:tc>
        <w:tc>
          <w:tcPr>
            <w:tcW w:w="0" w:type="dxa"/>
            <w:vAlign w:val="bottom"/>
          </w:tcPr>
          <w:p>
            <w:pPr>
              <w:spacing w:after="0"/>
              <w:rPr>
                <w:sz w:val="1"/>
                <w:szCs w:val="1"/>
                <w:color w:val="auto"/>
              </w:rPr>
            </w:pPr>
          </w:p>
        </w:tc>
      </w:tr>
      <w:tr>
        <w:trPr>
          <w:trHeight w:val="230"/>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24,832</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66,350</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28,197</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473,459</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720,902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720,333</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201,542</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 net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22,424</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1,381,136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1,423,698</w:t>
            </w: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Preferred Stock - $0.01 par value, 5,000,000 shares authorized, no shares issued and outstanding</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March 27, 2026 and December 26, 2025, respectively</w:t>
            </w:r>
          </w:p>
        </w:tc>
        <w:tc>
          <w:tcPr>
            <w:tcW w:w="24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Common Stock - $0.01 par value, 100,000,000 shares authorized, 40,743,689 and 40,679,813</w:t>
            </w: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and outstanding at March 27, 2026 and December 26, 2025, respectively</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405,020</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210,591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201,645</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608,631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604,309</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1,989,767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2,028,007</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169"/>
        </w:trPr>
        <w:tc>
          <w:tcPr>
            <w:tcW w:w="7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March 27,</w:t>
            </w:r>
          </w:p>
        </w:tc>
        <w:tc>
          <w:tcPr>
            <w:tcW w:w="240" w:type="dxa"/>
            <w:vAlign w:val="bottom"/>
          </w:tcPr>
          <w:p>
            <w:pPr>
              <w:spacing w:after="0"/>
              <w:rPr>
                <w:sz w:val="14"/>
                <w:szCs w:val="14"/>
                <w:color w:val="auto"/>
              </w:rPr>
            </w:pPr>
          </w:p>
        </w:tc>
        <w:tc>
          <w:tcPr>
            <w:tcW w:w="128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0" w:type="dxa"/>
            <w:vAlign w:val="bottom"/>
          </w:tcPr>
          <w:p>
            <w:pPr>
              <w:spacing w:after="0"/>
              <w:rPr>
                <w:sz w:val="1"/>
                <w:szCs w:val="1"/>
                <w:color w:val="auto"/>
              </w:rPr>
            </w:pPr>
          </w:p>
        </w:tc>
      </w:tr>
      <w:tr>
        <w:trPr>
          <w:trHeight w:val="241"/>
        </w:trPr>
        <w:tc>
          <w:tcPr>
            <w:tcW w:w="77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950,748</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801,642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724,753</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225,995</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202,763</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23"/>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w:t>
            </w:r>
          </w:p>
        </w:tc>
        <w:tc>
          <w:tcPr>
            <w:tcW w:w="0" w:type="dxa"/>
            <w:vAlign w:val="bottom"/>
          </w:tcPr>
          <w:p>
            <w:pPr>
              <w:spacing w:after="0"/>
              <w:rPr>
                <w:sz w:val="1"/>
                <w:szCs w:val="1"/>
                <w:color w:val="auto"/>
              </w:rPr>
            </w:pPr>
          </w:p>
        </w:tc>
      </w:tr>
      <w:tr>
        <w:trPr>
          <w:trHeight w:val="223"/>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12,482</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0" w:type="dxa"/>
            <w:vAlign w:val="bottom"/>
          </w:tcPr>
          <w:p>
            <w:pPr>
              <w:spacing w:after="0"/>
              <w:rPr>
                <w:sz w:val="1"/>
                <w:szCs w:val="1"/>
                <w:color w:val="auto"/>
              </w:rPr>
            </w:pPr>
          </w:p>
        </w:tc>
      </w:tr>
      <w:tr>
        <w:trPr>
          <w:trHeight w:val="223"/>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38,795,537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38,695,791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46,079,299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46,091,441</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887" w:right="6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80" w:type="dxa"/>
            <w:vAlign w:val="bottom"/>
          </w:tcPr>
          <w:p>
            <w:pPr>
              <w:spacing w:after="0"/>
              <w:rPr>
                <w:sz w:val="15"/>
                <w:szCs w:val="15"/>
                <w:color w:val="auto"/>
              </w:rPr>
            </w:pPr>
          </w:p>
        </w:tc>
        <w:tc>
          <w:tcPr>
            <w:tcW w:w="1900" w:type="dxa"/>
            <w:vAlign w:val="bottom"/>
            <w:gridSpan w:val="4"/>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vMerge w:val="restart"/>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080" w:type="dxa"/>
            <w:vAlign w:val="bottom"/>
          </w:tcPr>
          <w:p>
            <w:pPr>
              <w:spacing w:after="0"/>
              <w:rPr>
                <w:sz w:val="11"/>
                <w:szCs w:val="11"/>
                <w:color w:val="auto"/>
              </w:rPr>
            </w:pPr>
          </w:p>
        </w:tc>
        <w:tc>
          <w:tcPr>
            <w:tcW w:w="190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360" w:type="dxa"/>
            <w:vAlign w:val="bottom"/>
            <w:gridSpan w:val="3"/>
            <w:vMerge w:val="restart"/>
          </w:tcPr>
          <w:p>
            <w:pPr>
              <w:jc w:val="center"/>
              <w:ind w:right="1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900" w:type="dxa"/>
            <w:vAlign w:val="bottom"/>
            <w:gridSpan w:val="2"/>
            <w:vMerge w:val="restart"/>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5080" w:type="dxa"/>
            <w:vAlign w:val="bottom"/>
          </w:tcPr>
          <w:p>
            <w:pPr>
              <w:spacing w:after="0"/>
              <w:rPr>
                <w:sz w:val="2"/>
                <w:szCs w:val="2"/>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
                <w:szCs w:val="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8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line="20" w:lineRule="exact"/>
              <w:rPr>
                <w:sz w:val="1"/>
                <w:szCs w:val="1"/>
                <w:color w:val="auto"/>
              </w:rPr>
            </w:pPr>
          </w:p>
        </w:tc>
      </w:tr>
      <w:tr>
        <w:trPr>
          <w:trHeight w:val="230"/>
        </w:trPr>
        <w:tc>
          <w:tcPr>
            <w:tcW w:w="50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Loss</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26, 2025</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40,679,813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405,020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(2,763)</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$ 201,645</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$ 604,309</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17,367</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17,367</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retired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175"/>
        </w:trPr>
        <w:tc>
          <w:tcPr>
            <w:tcW w:w="5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under stock plans, net of shares surrendered to</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 tax withholding</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0" w:type="dxa"/>
            <w:vAlign w:val="bottom"/>
          </w:tcPr>
          <w:p>
            <w:pPr>
              <w:spacing w:after="0"/>
              <w:rPr>
                <w:sz w:val="1"/>
                <w:szCs w:val="1"/>
                <w:color w:val="auto"/>
              </w:rPr>
            </w:pPr>
          </w:p>
        </w:tc>
      </w:tr>
      <w:tr>
        <w:trPr>
          <w:trHeight w:val="248"/>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27, 2026</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40,743,689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400,620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$ 210,591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$ 608,631</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60" w:type="dxa"/>
            <w:vAlign w:val="bottom"/>
          </w:tcPr>
          <w:p>
            <w:pPr>
              <w:spacing w:after="0"/>
              <w:rPr>
                <w:sz w:val="15"/>
                <w:szCs w:val="15"/>
                <w:color w:val="auto"/>
              </w:rPr>
            </w:pPr>
          </w:p>
        </w:tc>
        <w:tc>
          <w:tcPr>
            <w:tcW w:w="1880" w:type="dxa"/>
            <w:vAlign w:val="bottom"/>
            <w:gridSpan w:val="4"/>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vMerge w:val="restart"/>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060" w:type="dxa"/>
            <w:vAlign w:val="bottom"/>
          </w:tcPr>
          <w:p>
            <w:pPr>
              <w:spacing w:after="0"/>
              <w:rPr>
                <w:sz w:val="11"/>
                <w:szCs w:val="11"/>
                <w:color w:val="auto"/>
              </w:rPr>
            </w:pPr>
          </w:p>
        </w:tc>
        <w:tc>
          <w:tcPr>
            <w:tcW w:w="1880" w:type="dxa"/>
            <w:vAlign w:val="bottom"/>
            <w:tcBorders>
              <w:bottom w:val="single" w:sz="8" w:color="auto"/>
            </w:tcBorders>
            <w:gridSpan w:val="4"/>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gridSpan w:val="3"/>
            <w:vMerge w:val="restart"/>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940" w:type="dxa"/>
            <w:vAlign w:val="bottom"/>
            <w:gridSpan w:val="2"/>
            <w:vMerge w:val="restart"/>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line="20" w:lineRule="exact"/>
              <w:rPr>
                <w:sz w:val="1"/>
                <w:szCs w:val="1"/>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340" w:type="dxa"/>
            <w:vAlign w:val="bottom"/>
            <w:gridSpan w:val="3"/>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8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line="20" w:lineRule="exact"/>
              <w:rPr>
                <w:sz w:val="1"/>
                <w:szCs w:val="1"/>
                <w:color w:val="auto"/>
              </w:rPr>
            </w:pPr>
          </w:p>
        </w:tc>
      </w:tr>
      <w:tr>
        <w:trPr>
          <w:trHeight w:val="243"/>
        </w:trPr>
        <w:tc>
          <w:tcPr>
            <w:tcW w:w="506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1"/>
                <w:szCs w:val="21"/>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27,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40,248,884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399,111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(3,807)</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$ 141,940</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$ 537,646</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exercised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175"/>
        </w:trPr>
        <w:tc>
          <w:tcPr>
            <w:tcW w:w="5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under stock plans, net of shares surrendered to</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 tax withholding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(10,592)</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28, 2025</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40,674,391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392,636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$ 152,228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$ 541,640</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27, 2026</w:t>
            </w:r>
          </w:p>
        </w:tc>
        <w:tc>
          <w:tcPr>
            <w:tcW w:w="260" w:type="dxa"/>
            <w:vAlign w:val="bottom"/>
          </w:tcPr>
          <w:p>
            <w:pPr>
              <w:spacing w:after="0"/>
              <w:rPr>
                <w:sz w:val="19"/>
                <w:szCs w:val="19"/>
                <w:color w:val="auto"/>
              </w:rPr>
            </w:pPr>
          </w:p>
        </w:tc>
        <w:tc>
          <w:tcPr>
            <w:tcW w:w="17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28, 2025</w:t>
            </w: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10,288</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12,244</w:t>
            </w: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allowance for credit losses</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w:t>
            </w: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compensation</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interest and other operating activities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27,826</w:t>
            </w: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accrued liabilities and accrued compensation</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(19,591)</w:t>
            </w: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49,566</w:t>
            </w:r>
          </w:p>
        </w:tc>
      </w:tr>
      <w:tr>
        <w:trPr>
          <w:trHeight w:val="196"/>
        </w:trPr>
        <w:tc>
          <w:tcPr>
            <w:tcW w:w="7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(12,344)</w:t>
            </w: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(12,344)</w:t>
            </w:r>
          </w:p>
        </w:tc>
      </w:tr>
      <w:tr>
        <w:trPr>
          <w:trHeight w:val="196"/>
        </w:trPr>
        <w:tc>
          <w:tcPr>
            <w:tcW w:w="7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debt and other financing obligations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finance leases</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repurchases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Surrender of shares to pay withholding taxes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(11,409)</w:t>
            </w: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under asset-based loan facility</w:t>
            </w:r>
          </w:p>
        </w:tc>
        <w:tc>
          <w:tcPr>
            <w:tcW w:w="26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(28,777)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(35,412)</w:t>
            </w:r>
          </w:p>
        </w:tc>
      </w:tr>
      <w:tr>
        <w:trPr>
          <w:trHeight w:val="196"/>
        </w:trPr>
        <w:tc>
          <w:tcPr>
            <w:tcW w:w="7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on cash and cash equivalents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114,655</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122,709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116,530</w:t>
            </w:r>
          </w:p>
        </w:tc>
      </w:tr>
      <w:tr>
        <w:trPr>
          <w:trHeight w:val="20"/>
        </w:trPr>
        <w:tc>
          <w:tcPr>
            <w:tcW w:w="7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Operations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 and Basis of Presentation</w:t>
      </w:r>
    </w:p>
    <w:p>
      <w:pPr>
        <w:spacing w:after="0" w:line="216"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color w:val="auto"/>
        </w:rPr>
        <w:t>The Chefs’ Warehouse, Inc., and its wholly-owned subsidiaries (the “Company”), is a distributor of specialty food and center-of-the-plate products in the United States, the Middle East and Canada. The Company is focused on serving the specific needs of chefs who own and/or operate restaurants, country clubs, hotels, caterers, culinary schools, bakeries, patisseries, chocolateries, cruise lines, casinos and specialty food stores.</w:t>
      </w:r>
    </w:p>
    <w:p>
      <w:pPr>
        <w:spacing w:after="0" w:line="20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Company’s quarterly periods end on the thirteenth Friday of each quarter. Every six to seven years, the Company will add a fourteenth week to its fourth quarter to more closely align its year-end to the calendar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condensed consolidated financial statements include all the accounts of the Company and its direct and indirect wholly-owned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significant intercompany accounts and transactions have been eliminated.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Statements</w:t>
      </w:r>
    </w:p>
    <w:p>
      <w:pPr>
        <w:spacing w:after="0" w:line="24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the related interim information contained within the notes to such unaudited condensed consolidated financial statements have been prepared in accordance with accounting principles generally accepted in the United States of America (“GAAP”) and the applicable rules of the Securities and Exchange Commission (“SEC”) for interim information and quarterly reports on Form 10-Q. Accordingly, they do not include all the information and disclosures required by GAAP for complete financial statements. These unaudited condensed consolidated financial statements and related notes should be read in conjunction with the Company’s audited consolidated financial statements and notes thereto for the fiscal year ended December 26, 2025 filed as part of the Company’s Annual Report on Form 10-K (the “2025 Form 10-K”).</w:t>
      </w:r>
    </w:p>
    <w:p>
      <w:pPr>
        <w:spacing w:after="0" w:line="213"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appearing in this Form 10-Q have been prepared on the same basis as the audited consolidated financial statements included in the Company’s 2025 Form 10-K, and in the opinion of management, include all normal recurring adjustments that are necessary for the fair statement of the Company’s interim period results. The year-end consolidated balance sheet data was derived from the audited financial statements but does not include all disclosures required by GAAP. Due to seasonal fluctuations and other factors, the results of operations for the thirteen weeks ended March 27, 2026 are not necessarily indicative of the results to be expected for the full year.</w:t>
      </w:r>
    </w:p>
    <w:p>
      <w:pPr>
        <w:spacing w:after="0" w:line="225"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management’s estimates.</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net sales disaggregated by principal product category: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880" w:type="dxa"/>
            <w:vAlign w:val="bottom"/>
            <w:tcBorders>
              <w:bottom w:val="single" w:sz="8" w:color="auto"/>
            </w:tcBorders>
          </w:tcPr>
          <w:p>
            <w:pPr>
              <w:spacing w:after="0"/>
              <w:rPr>
                <w:sz w:val="20"/>
                <w:szCs w:val="20"/>
                <w:color w:val="auto"/>
              </w:rPr>
            </w:pPr>
          </w:p>
        </w:tc>
      </w:tr>
      <w:tr>
        <w:trPr>
          <w:trHeight w:val="223"/>
        </w:trPr>
        <w:tc>
          <w:tcPr>
            <w:tcW w:w="6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March 27, 2026</w:t>
            </w:r>
          </w:p>
        </w:tc>
        <w:tc>
          <w:tcPr>
            <w:tcW w:w="300" w:type="dxa"/>
            <w:vAlign w:val="bottom"/>
          </w:tcPr>
          <w:p>
            <w:pPr>
              <w:spacing w:after="0"/>
              <w:rPr>
                <w:sz w:val="19"/>
                <w:szCs w:val="19"/>
                <w:color w:val="auto"/>
              </w:rPr>
            </w:pPr>
          </w:p>
        </w:tc>
        <w:tc>
          <w:tcPr>
            <w:tcW w:w="188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28, 2025</w:t>
            </w:r>
          </w:p>
        </w:tc>
      </w:tr>
      <w:tr>
        <w:trPr>
          <w:trHeight w:val="22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Center-of-the-Plate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420,868</w:t>
            </w:r>
          </w:p>
        </w:tc>
        <w:tc>
          <w:tcPr>
            <w:tcW w:w="1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361,492</w:t>
            </w:r>
          </w:p>
        </w:tc>
        <w:tc>
          <w:tcPr>
            <w:tcW w:w="1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38.0 %</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Dry Goods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166,720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150,106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139,277</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119,572</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Pastry</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146,507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128,538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Cheese and Charcuterie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68,943</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65,175</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Dairy and Eggs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Oils and Vinegars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31,642</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31,650</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Kitchen Supplies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21,183</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18,146</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Specialty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638,142</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589,256</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62.0 %</w:t>
            </w: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1,059,010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950,748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determines its product category classification based on how the Company currently markets its products to its customers. The Company’s definition of its principal product categories may differ from the way in which other companies present similar information. Net sales by product category may include estimates of product mix for certain locations that are not yet fully integrated into the Company’s sales reporting system as of the reporting 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Net Income per Share</w:t>
      </w:r>
    </w:p>
    <w:p>
      <w:pPr>
        <w:spacing w:after="0" w:line="216"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Basic net income per share is calculated by dividing net income by the weighted average number of shares of common stock outstanding during the period. Diluted net income per share adjusts basic net income per share for all the potentially dilutive shares outstanding during the period. When the Company’s convertible notes are dilutive, interest on the convertible notes, net of tax, is added back to net income in order to calculate diluted earnings available to common shareholders.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common share:</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51"/>
        </w:trPr>
        <w:tc>
          <w:tcPr>
            <w:tcW w:w="7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27, 2026</w:t>
            </w:r>
          </w:p>
        </w:tc>
        <w:tc>
          <w:tcPr>
            <w:tcW w:w="200" w:type="dxa"/>
            <w:vAlign w:val="bottom"/>
          </w:tcPr>
          <w:p>
            <w:pPr>
              <w:spacing w:after="0"/>
              <w:rPr>
                <w:sz w:val="19"/>
                <w:szCs w:val="19"/>
                <w:color w:val="auto"/>
              </w:rPr>
            </w:pP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28, 2025</w:t>
            </w: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2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38,795,537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38,695,791</w:t>
            </w:r>
          </w:p>
        </w:tc>
      </w:tr>
      <w:tr>
        <w:trPr>
          <w:trHeight w:val="23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46,079,299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46,091,441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net income per common share:</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223"/>
        </w:trPr>
        <w:tc>
          <w:tcPr>
            <w:tcW w:w="7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27, 2026</w:t>
            </w:r>
          </w:p>
        </w:tc>
        <w:tc>
          <w:tcPr>
            <w:tcW w:w="200" w:type="dxa"/>
            <w:vAlign w:val="bottom"/>
          </w:tcPr>
          <w:p>
            <w:pPr>
              <w:spacing w:after="0"/>
              <w:rPr>
                <w:sz w:val="19"/>
                <w:szCs w:val="19"/>
                <w:color w:val="auto"/>
              </w:rPr>
            </w:pP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28, 2025</w:t>
            </w:r>
          </w:p>
        </w:tc>
        <w:tc>
          <w:tcPr>
            <w:tcW w:w="0" w:type="dxa"/>
            <w:vAlign w:val="bottom"/>
          </w:tcPr>
          <w:p>
            <w:pPr>
              <w:spacing w:after="0"/>
              <w:rPr>
                <w:sz w:val="1"/>
                <w:szCs w:val="1"/>
                <w:color w:val="auto"/>
              </w:rPr>
            </w:pP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on convertible notes, net of tax</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38,795,537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38,695,791</w:t>
            </w:r>
          </w:p>
        </w:tc>
        <w:tc>
          <w:tcPr>
            <w:tcW w:w="0" w:type="dxa"/>
            <w:vAlign w:val="bottom"/>
          </w:tcPr>
          <w:p>
            <w:pPr>
              <w:spacing w:after="0"/>
              <w:rPr>
                <w:sz w:val="1"/>
                <w:szCs w:val="1"/>
                <w:color w:val="auto"/>
              </w:rPr>
            </w:pP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unvested common shares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788,792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827,795</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 and warrants</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72,885</w:t>
            </w: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convertible notes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6,494,970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6,494,970</w:t>
            </w:r>
          </w:p>
        </w:tc>
        <w:tc>
          <w:tcPr>
            <w:tcW w:w="0" w:type="dxa"/>
            <w:vAlign w:val="bottom"/>
          </w:tcPr>
          <w:p>
            <w:pPr>
              <w:spacing w:after="0"/>
              <w:rPr>
                <w:sz w:val="1"/>
                <w:szCs w:val="1"/>
                <w:color w:val="auto"/>
              </w:rPr>
            </w:pP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46,079,299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46,091,441</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Potentially dilutive securities that have been excluded from the calculation of diluted net income per common share because the effect is anti-dilutive are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364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600" w:type="dxa"/>
            <w:vAlign w:val="bottom"/>
          </w:tcPr>
          <w:p>
            <w:pPr>
              <w:spacing w:after="0"/>
              <w:rPr>
                <w:sz w:val="19"/>
                <w:szCs w:val="19"/>
                <w:color w:val="auto"/>
              </w:rPr>
            </w:pPr>
          </w:p>
        </w:tc>
        <w:tc>
          <w:tcPr>
            <w:tcW w:w="18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March 27, 2026</w:t>
            </w:r>
          </w:p>
        </w:tc>
        <w:tc>
          <w:tcPr>
            <w:tcW w:w="1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28, 2025</w:t>
            </w:r>
          </w:p>
        </w:tc>
      </w:tr>
      <w:tr>
        <w:trPr>
          <w:trHeight w:val="223"/>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share awards (“RSAs”) and restricted stock units (“RSUs”)</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120,549</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114,866</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5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carrying amounts reported in the Company’s condensed consolidated balance sheets for accounts receivable and accounts payable approximate fair value due to their immediate to short-term nature. The fair values of the asset-based loan facility and term loan approximated their book values as of March 27, 2026 and December 26, 2025, as these instruments had variable interest rates that reflected current market rates available to the Company and are classified as Level 2 fair value measurements.</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carrying value and fair value of the Company’s convertible notes and its unsecured note issued in connection with the acquisition of Italco Food Products (“Italco”) in fiscal 2025 (“Italco Note”). The fair value of the Company’s 2028 Convertible Senior Notes was based on bid/ask quotes as of or near the balance sheet date. The fair value of the Italco Note was determined based upon observable market prices of similar debt instruments.</w:t>
      </w: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March 27, 2026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6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3"/>
                <w:szCs w:val="13"/>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40" w:type="dxa"/>
            <w:vAlign w:val="bottom"/>
          </w:tcPr>
          <w:p>
            <w:pPr>
              <w:spacing w:after="0"/>
              <w:rPr>
                <w:sz w:val="13"/>
                <w:szCs w:val="13"/>
                <w:color w:val="auto"/>
              </w:rPr>
            </w:pPr>
          </w:p>
        </w:tc>
        <w:tc>
          <w:tcPr>
            <w:tcW w:w="10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60" w:type="dxa"/>
            <w:vAlign w:val="bottom"/>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Convertible Senior Notes</w:t>
            </w: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442,750</w:t>
            </w:r>
          </w:p>
        </w:tc>
        <w:tc>
          <w:tcPr>
            <w:tcW w:w="0" w:type="dxa"/>
            <w:vAlign w:val="bottom"/>
          </w:tcPr>
          <w:p>
            <w:pPr>
              <w:spacing w:after="0"/>
              <w:rPr>
                <w:sz w:val="1"/>
                <w:szCs w:val="1"/>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Italco Note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Inventories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Inventories consist primarily of finished product and are reflected net of adjustments for shrinkage, excess and obsolescence to approximate their net realizable value totaling $11,633 and $10,520 at March 27, 2026 and December 26, 2025,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Property and equipment is net of accumulated depreciation and amortization of $190,026 and $178,931 at March 27, 2026 and December 26, 2025, respectively.</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9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Goodwill and Other Intangible Assets</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9"/>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are presented as follows:</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21"/>
        </w:trPr>
        <w:tc>
          <w:tcPr>
            <w:tcW w:w="9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30"/>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as of December 26, 2025</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362,742</w:t>
            </w:r>
          </w:p>
        </w:tc>
      </w:tr>
      <w:tr>
        <w:trPr>
          <w:trHeight w:val="229"/>
        </w:trPr>
        <w:tc>
          <w:tcPr>
            <w:tcW w:w="9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8"/>
        </w:trPr>
        <w:tc>
          <w:tcPr>
            <w:tcW w:w="9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as of March 27, 2026</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362,684</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are net of accumulated amortization of $195,276 and $189,625 as of March 27, 2026 and December 26, 2025,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other intangibles was $5,651 and $6,094 for the thirteen weeks ended March 27, 2026 and March 28, 2025, respectively.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Debt Obligations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obligations as of March 27, 2026 and December 26, 2025 consisted of the following: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26,</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22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Effective Interest Rate at</w:t>
            </w:r>
          </w:p>
        </w:tc>
        <w:tc>
          <w:tcPr>
            <w:tcW w:w="1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40" w:type="dxa"/>
            <w:vAlign w:val="bottom"/>
          </w:tcPr>
          <w:p>
            <w:pPr>
              <w:spacing w:after="0"/>
              <w:rPr>
                <w:sz w:val="15"/>
                <w:szCs w:val="15"/>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27, 2026</w:t>
            </w:r>
          </w:p>
        </w:tc>
        <w:tc>
          <w:tcPr>
            <w:tcW w:w="1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1"/>
                <w:szCs w:val="21"/>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27, 2026</w:t>
            </w:r>
          </w:p>
        </w:tc>
        <w:tc>
          <w:tcPr>
            <w:tcW w:w="18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loans</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6.91 %</w:t>
            </w: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2029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252,000</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Convertible senior notes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80" w:type="dxa"/>
            <w:vAlign w:val="bottom"/>
          </w:tcPr>
          <w:p>
            <w:pPr>
              <w:spacing w:after="0"/>
              <w:rPr>
                <w:sz w:val="19"/>
                <w:szCs w:val="19"/>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December 2028</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287,500</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Asset-based loan facility</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August 2030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 and other financing obligations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80" w:type="dxa"/>
            <w:vAlign w:val="bottom"/>
          </w:tcPr>
          <w:p>
            <w:pPr>
              <w:spacing w:after="0"/>
              <w:rPr>
                <w:sz w:val="19"/>
                <w:szCs w:val="19"/>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Various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119,451</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deferred costs</w:t>
            </w:r>
          </w:p>
        </w:tc>
        <w:tc>
          <w:tcPr>
            <w:tcW w:w="2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(10,421)</w:t>
            </w:r>
          </w:p>
        </w:tc>
        <w:tc>
          <w:tcPr>
            <w:tcW w:w="0" w:type="dxa"/>
            <w:vAlign w:val="bottom"/>
          </w:tcPr>
          <w:p>
            <w:pPr>
              <w:spacing w:after="0"/>
              <w:rPr>
                <w:sz w:val="1"/>
                <w:szCs w:val="1"/>
                <w:color w:val="auto"/>
              </w:rPr>
            </w:pPr>
          </w:p>
        </w:tc>
      </w:tr>
      <w:tr>
        <w:trPr>
          <w:trHeight w:val="223"/>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 obligations</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750,430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748,530</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installments</w:t>
            </w:r>
          </w:p>
        </w:tc>
        <w:tc>
          <w:tcPr>
            <w:tcW w:w="2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(28,197)</w:t>
            </w:r>
          </w:p>
        </w:tc>
        <w:tc>
          <w:tcPr>
            <w:tcW w:w="0" w:type="dxa"/>
            <w:vAlign w:val="bottom"/>
          </w:tcPr>
          <w:p>
            <w:pPr>
              <w:spacing w:after="0"/>
              <w:rPr>
                <w:sz w:val="1"/>
                <w:szCs w:val="1"/>
                <w:color w:val="auto"/>
              </w:rPr>
            </w:pPr>
          </w:p>
        </w:tc>
      </w:tr>
      <w:tr>
        <w:trPr>
          <w:trHeight w:val="223"/>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long-term debt</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720,902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720,333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Term Loan Credit Facility</w:t>
      </w:r>
    </w:p>
    <w:p>
      <w:pPr>
        <w:spacing w:after="0" w:line="25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January 2026, the Company entered into an amendment (“Fourteenth Amendment”) to its senior secured term loan agreement, which reduced the interest rate spread on its senior secured term loan facility. Arrangement fees of $525 and third-party transaction costs of $51 were expensed as incurred during the thirteen weeks ended March 27, 2026 and included in i</w:t>
      </w:r>
      <w:r>
        <w:rPr>
          <w:rFonts w:ascii="Times New Roman" w:cs="Times New Roman" w:eastAsia="Times New Roman" w:hAnsi="Times New Roman"/>
          <w:sz w:val="18"/>
          <w:szCs w:val="18"/>
          <w:i w:val="1"/>
          <w:iCs w:val="1"/>
          <w:color w:val="auto"/>
        </w:rPr>
        <w:t>nterest expense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respectively, within the Company’s condensed consolidated statements of operations.</w:t>
      </w:r>
    </w:p>
    <w:p>
      <w:pPr>
        <w:spacing w:after="0" w:line="20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 xml:space="preserve">Additionally, during the thirteen weeks ended March 27, 2026, the Company made a voluntary principal prepayment totaling $5,000 towards the senior secured term loan. In connection with the prepayment, the Company wrote-off unamortized deferred financing fees of $130 during the thirteen weeks ended March 27, 2026, which were included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within the Company’s condensed consolidated statements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Asset-Based Loan Facility</w:t>
      </w:r>
    </w:p>
    <w:p>
      <w:pPr>
        <w:spacing w:after="0" w:line="243"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As of March 27, 2026, the Company had reserved $44,356 of its ABL facility for the issuance of letters of credit and funds totaling $155,644 were available for borrowing under the ABL.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carrying value of the Company’s 2028 convertible senior notes as of March 27, 2026 and December 26, 2025 was: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March 27, 2026</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rPr>
              <w:t>Principal</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rPr>
              <w:t>Unamortized</w:t>
            </w:r>
          </w:p>
        </w:tc>
        <w:tc>
          <w:tcPr>
            <w:tcW w:w="16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Net Amount</w:t>
            </w:r>
          </w:p>
        </w:tc>
        <w:tc>
          <w:tcPr>
            <w:tcW w:w="220" w:type="dxa"/>
            <w:vAlign w:val="bottom"/>
          </w:tcPr>
          <w:p>
            <w:pPr>
              <w:spacing w:after="0"/>
              <w:rPr>
                <w:sz w:val="14"/>
                <w:szCs w:val="14"/>
                <w:color w:val="auto"/>
              </w:rPr>
            </w:pPr>
          </w:p>
        </w:tc>
        <w:tc>
          <w:tcPr>
            <w:tcW w:w="114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Principal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rPr>
              <w:t>Unamortized</w:t>
            </w:r>
          </w:p>
        </w:tc>
        <w:tc>
          <w:tcPr>
            <w:tcW w:w="160" w:type="dxa"/>
            <w:vAlign w:val="bottom"/>
          </w:tcPr>
          <w:p>
            <w:pPr>
              <w:spacing w:after="0"/>
              <w:rPr>
                <w:sz w:val="14"/>
                <w:szCs w:val="14"/>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Amount</w:t>
            </w: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Deferred Costs</w:t>
            </w:r>
          </w:p>
        </w:tc>
        <w:tc>
          <w:tcPr>
            <w:tcW w:w="16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Deferred Costs</w:t>
            </w:r>
          </w:p>
        </w:tc>
        <w:tc>
          <w:tcPr>
            <w:tcW w:w="16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Convertible Notes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284,349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284,062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interest expense on the Company’s convertible notes were as follows:</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6"/>
        </w:trPr>
        <w:tc>
          <w:tcPr>
            <w:tcW w:w="73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27, 2026</w:t>
            </w:r>
          </w:p>
        </w:tc>
        <w:tc>
          <w:tcPr>
            <w:tcW w:w="200" w:type="dxa"/>
            <w:vAlign w:val="bottom"/>
          </w:tcPr>
          <w:p>
            <w:pPr>
              <w:spacing w:after="0"/>
              <w:rPr>
                <w:sz w:val="19"/>
                <w:szCs w:val="19"/>
                <w:color w:val="auto"/>
              </w:rPr>
            </w:pP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28, 2025</w:t>
            </w: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Coupon interest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deferred costs and premium</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activity of RSAs and RSUs during the thirteen weeks ended March 27, 2026: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26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Time-Based</w:t>
            </w:r>
          </w:p>
        </w:tc>
        <w:tc>
          <w:tcPr>
            <w:tcW w:w="26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Performance-Based</w:t>
            </w:r>
          </w:p>
        </w:tc>
        <w:tc>
          <w:tcPr>
            <w:tcW w:w="258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Market-Based</w:t>
            </w:r>
          </w:p>
        </w:tc>
        <w:tc>
          <w:tcPr>
            <w:tcW w:w="0" w:type="dxa"/>
            <w:vAlign w:val="bottom"/>
          </w:tcPr>
          <w:p>
            <w:pPr>
              <w:spacing w:after="0"/>
              <w:rPr>
                <w:sz w:val="1"/>
                <w:szCs w:val="1"/>
                <w:color w:val="auto"/>
              </w:rPr>
            </w:pPr>
          </w:p>
        </w:tc>
      </w:tr>
      <w:tr>
        <w:trPr>
          <w:trHeight w:val="169"/>
        </w:trPr>
        <w:tc>
          <w:tcPr>
            <w:tcW w:w="33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15"/>
                <w:szCs w:val="15"/>
                <w:color w:val="auto"/>
              </w:rPr>
            </w:pPr>
          </w:p>
        </w:tc>
        <w:tc>
          <w:tcPr>
            <w:tcW w:w="11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5"/>
                <w:szCs w:val="15"/>
                <w:color w:val="auto"/>
              </w:rPr>
            </w:pPr>
          </w:p>
        </w:tc>
        <w:tc>
          <w:tcPr>
            <w:tcW w:w="1460" w:type="dxa"/>
            <w:vAlign w:val="bottom"/>
            <w:gridSpan w:val="3"/>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1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15"/>
                <w:szCs w:val="15"/>
                <w:color w:val="auto"/>
              </w:rPr>
            </w:pPr>
          </w:p>
        </w:tc>
        <w:tc>
          <w:tcPr>
            <w:tcW w:w="1480" w:type="dxa"/>
            <w:vAlign w:val="bottom"/>
            <w:gridSpan w:val="3"/>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1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3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1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26, 2025</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470,866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1,307,313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175,786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0" w:type="dxa"/>
            <w:vAlign w:val="bottom"/>
          </w:tcPr>
          <w:p>
            <w:pPr>
              <w:spacing w:after="0"/>
              <w:rPr>
                <w:sz w:val="1"/>
                <w:szCs w:val="1"/>
                <w:color w:val="auto"/>
              </w:rPr>
            </w:pPr>
          </w:p>
        </w:tc>
      </w:tr>
      <w:tr>
        <w:trPr>
          <w:trHeight w:val="230"/>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(139,866)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March 27, 2026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485,763</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1,238,337</w:t>
            </w:r>
          </w:p>
        </w:tc>
        <w:tc>
          <w:tcPr>
            <w:tcW w:w="3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122,992</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granted 424,363 RSAs and RSUs to its employees and directors at a weighted average grant date fair value of $72.57 during the thirteen weeks ended March 27, 2026. These awards are a mix of time-, market- and performance-based grants that generally vest over a range of periods up to five years. The Company recognized expense on its RSAs and RSUs totaling $4,139 and $4,121 during the thirteen weeks ended March 27, 2026 and March 28, 2025, respectively. No share-based compensation expense has been capitalized.</w:t>
      </w:r>
    </w:p>
    <w:p>
      <w:pPr>
        <w:spacing w:after="0" w:line="207"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At March 27, 2026, the total unrecognized compensation cost for unvested RSAs and RSUs was $42,319 and the weighted-average remaining period was approximately 2.1 years. Of this total, $27,097 related to awards with time-based vesting provisions and $15,222 related to awards with performance- and market-based vesting provisions. At March 27, 2026, the weighted-average remaining period for time-based vesting and performance-based vesting RSAs and RSUs were approximately 1.9 years and 2.4 years,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November 2023, the Company announced a two-year share repurchase program in an amount up to $100,000. In February 2026, the board of directors authorized the extension of the share repurchase program for ten years, subject to that same $100,000 limit. The remaining share purchase authorization was $57,617 at March 27, 2026. The Company is not obligated to repurchase any specific number of shares and may suspend or discontinue the program at any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effective tax rate was 23.6% and 17.6% for the thirteen weeks ended March 27, 2026 and March 28, 2025, respectively. Both periods include the impact of a discrete item related to a tax benefit from the vesting of stock awards. The effective tax rate otherwise varies from the 21% statutory rate primarily due to state taxes and permanent adjustments.</w:t>
      </w:r>
    </w:p>
    <w:p>
      <w:pPr>
        <w:spacing w:after="0" w:line="19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As a result of a five year carryback allowed under the Coronavirus Aid, Relief, and Economic Security Act (“CARES Act”), the Company carried back its 2020 federal income tax loss, which resulted in a income tax refund receivable of $27,446 as of March 27, 2026. The receivable is reflected in </w:t>
      </w:r>
      <w:r>
        <w:rPr>
          <w:rFonts w:ascii="Times New Roman" w:cs="Times New Roman" w:eastAsia="Times New Roman" w:hAnsi="Times New Roman"/>
          <w:sz w:val="18"/>
          <w:szCs w:val="18"/>
          <w:i w:val="1"/>
          <w:iCs w:val="1"/>
          <w:color w:val="auto"/>
        </w:rPr>
        <w:t>prepaid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expenses and other current assets </w:t>
      </w:r>
      <w:r>
        <w:rPr>
          <w:rFonts w:ascii="Times New Roman" w:cs="Times New Roman" w:eastAsia="Times New Roman" w:hAnsi="Times New Roman"/>
          <w:sz w:val="18"/>
          <w:szCs w:val="18"/>
          <w:color w:val="auto"/>
        </w:rPr>
        <w:t>on the Company’s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11 – Segment Information</w:t>
      </w:r>
    </w:p>
    <w:p>
      <w:pPr>
        <w:spacing w:after="0" w:line="256"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Company’s business consists of three operating segments: East, Midwest and West that aggregate into one reportable segment, foodservice distribution, which is concentrated primarily in the United States.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accounting policies of the foodservice distribution segment are the same as those for the consolidated company. The Company’s chief operating decision maker, who is the Company’s chief executive officer, uses gross profit as the measure of profit or loss to assess segment performance and allocate resources.</w:t>
      </w:r>
    </w:p>
    <w:p>
      <w:pPr>
        <w:spacing w:after="0" w:line="20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Consolidated gross profit, reported on the statement of operations and comprehensive income, is used to evaluate whether to reinvest profits into the foodservice distribution segment or into other parts of the entity, such as for acquisitions or to repurchase its common shares. Additionally, gross profit is used to monitor budget versus actual results and in competitive analysis by benchmarking to the Company’s competitors. Consolidated total assets, reported on the balance sheet, is the measure of segment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foodservice distribution segment:</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7"/>
        </w:trPr>
        <w:tc>
          <w:tcPr>
            <w:tcW w:w="73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27, 2026</w:t>
            </w:r>
          </w:p>
        </w:tc>
        <w:tc>
          <w:tcPr>
            <w:tcW w:w="200" w:type="dxa"/>
            <w:vAlign w:val="bottom"/>
          </w:tcPr>
          <w:p>
            <w:pPr>
              <w:spacing w:after="0"/>
              <w:rPr>
                <w:sz w:val="19"/>
                <w:szCs w:val="19"/>
                <w:color w:val="auto"/>
              </w:rPr>
            </w:pP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28, 2025</w:t>
            </w:r>
          </w:p>
        </w:tc>
      </w:tr>
      <w:tr>
        <w:trPr>
          <w:trHeight w:val="230"/>
        </w:trPr>
        <w:tc>
          <w:tcPr>
            <w:tcW w:w="7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sales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957,974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851,905</w:t>
            </w:r>
          </w:p>
        </w:tc>
      </w:tr>
      <w:tr>
        <w:trPr>
          <w:trHeight w:val="230"/>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98,843</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1,059,010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950,748</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3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Cost of sales - non-production costs </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706,501</w:t>
            </w:r>
          </w:p>
        </w:tc>
      </w:tr>
      <w:tr>
        <w:trPr>
          <w:trHeight w:val="229"/>
        </w:trPr>
        <w:tc>
          <w:tcPr>
            <w:tcW w:w="73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Cost of sales - food processing costs </w:t>
            </w:r>
            <w:r>
              <w:rPr>
                <w:rFonts w:ascii="Times New Roman" w:cs="Times New Roman" w:eastAsia="Times New Roman" w:hAnsi="Times New Roman"/>
                <w:sz w:val="23"/>
                <w:szCs w:val="23"/>
                <w:color w:val="auto"/>
                <w:vertAlign w:val="superscript"/>
              </w:rPr>
              <w:t>(3)(4)</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18,252</w:t>
            </w:r>
          </w:p>
        </w:tc>
      </w:tr>
      <w:tr>
        <w:trPr>
          <w:trHeight w:val="223"/>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801,642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724,753</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225,995</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right="120" w:hanging="328"/>
        <w:spacing w:after="0" w:line="222" w:lineRule="auto"/>
        <w:tabs>
          <w:tab w:leader="none" w:pos="64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Company’s revenue is disaggregated by geographic area based on sales office location. No country outside of the United States had revenue greater than 10% of consolidated revenue for the thirteen weeks ended March 27, 2026 and March 28, 2025.</w:t>
      </w:r>
    </w:p>
    <w:p>
      <w:pPr>
        <w:ind w:left="660" w:right="120" w:hanging="328"/>
        <w:spacing w:after="0" w:line="219" w:lineRule="auto"/>
        <w:tabs>
          <w:tab w:leader="none" w:pos="64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Non-production costs represent the net purchase price paid for products sold, plus the cost of transportation necessary to bring the product to the Company’s distribution facilities. Non-production costs include purchase incentives and product purchase credits from certain vendors.</w:t>
      </w:r>
    </w:p>
    <w:p>
      <w:pPr>
        <w:spacing w:after="0" w:line="1" w:lineRule="exact"/>
        <w:rPr>
          <w:rFonts w:ascii="Times New Roman" w:cs="Times New Roman" w:eastAsia="Times New Roman" w:hAnsi="Times New Roman"/>
          <w:sz w:val="23"/>
          <w:szCs w:val="23"/>
          <w:color w:val="auto"/>
          <w:vertAlign w:val="superscript"/>
        </w:rPr>
      </w:pPr>
    </w:p>
    <w:p>
      <w:pPr>
        <w:ind w:left="660" w:right="220" w:hanging="328"/>
        <w:spacing w:after="0" w:line="219" w:lineRule="auto"/>
        <w:tabs>
          <w:tab w:leader="none" w:pos="64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Food processing costs include but are not limited to, direct labor and benefits, applicable overhead and depreciation of equipment and facilities used in food processing activities.</w:t>
      </w:r>
    </w:p>
    <w:p>
      <w:pPr>
        <w:spacing w:after="0" w:line="1" w:lineRule="exact"/>
        <w:rPr>
          <w:rFonts w:ascii="Times New Roman" w:cs="Times New Roman" w:eastAsia="Times New Roman" w:hAnsi="Times New Roman"/>
          <w:sz w:val="23"/>
          <w:szCs w:val="23"/>
          <w:color w:val="auto"/>
          <w:vertAlign w:val="superscript"/>
        </w:rPr>
      </w:pPr>
    </w:p>
    <w:p>
      <w:pPr>
        <w:ind w:left="660" w:right="580" w:hanging="328"/>
        <w:spacing w:after="0" w:line="219" w:lineRule="auto"/>
        <w:tabs>
          <w:tab w:leader="none" w:pos="64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Food processing costs included $242 and $261 of depreciation expense for the thirteen weeks ended March 27, 2026 and March 28, 2025, respectively.</w:t>
      </w:r>
    </w:p>
    <w:p>
      <w:pPr>
        <w:spacing w:after="0" w:line="213"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Refer to the condensed consolidated statements of operations and comprehensive income for the reconciliation of consolidated gross profit, which is the Company’s segment measure of profit or loss, to consolidated income before income taxes.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 Supplemental Disclosures of Cash Flow Information</w:t>
            </w: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51"/>
        </w:trPr>
        <w:tc>
          <w:tcPr>
            <w:tcW w:w="7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27, 2026</w:t>
            </w:r>
          </w:p>
        </w:tc>
        <w:tc>
          <w:tcPr>
            <w:tcW w:w="260" w:type="dxa"/>
            <w:vAlign w:val="bottom"/>
          </w:tcPr>
          <w:p>
            <w:pPr>
              <w:spacing w:after="0"/>
              <w:rPr>
                <w:sz w:val="19"/>
                <w:szCs w:val="19"/>
                <w:color w:val="auto"/>
              </w:rPr>
            </w:pPr>
          </w:p>
        </w:tc>
        <w:tc>
          <w:tcPr>
            <w:tcW w:w="17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28, 2025</w:t>
            </w:r>
          </w:p>
        </w:tc>
      </w:tr>
      <w:tr>
        <w:trPr>
          <w:trHeight w:val="209"/>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cash flow disclosures:</w:t>
            </w:r>
          </w:p>
        </w:tc>
        <w:tc>
          <w:tcPr>
            <w:tcW w:w="2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interest, net of cash received</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8,228</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w:t>
            </w: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w:t>
            </w: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14" w:name="page15"/>
    <w:bookmarkEnd w:id="14"/>
    <w:p>
      <w:pPr>
        <w:ind w:right="360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provided as a supplement to the accompanying condensed consolidated financial statements and footnotes to help provide an understanding of our financial condition, changes in our financial condition and results of operations. The following discussion should be read in conjunction with information included in our Annual Report on Form 10-K for the fiscal year ended December 26, 2025 (the “2025 Form 10-K”) filed with the SEC. Unless otherwise indicated, the terms “Company”, “Chefs’ Warehouse”, “we”, “us” and “our” refer to The Chefs’ Warehouse, Inc. and its subsidiaries. All dollar amounts included in the tables in the following discussion are presented in thousands.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 premier distributor of specialty foods in the leading culinary markets in the United States, the Middle East and Canada. We offer more than 90,000 stock-keeping units (“SKUs”), ranging from high-quality specialty foods and ingredients to basic ingredients and staples and center-of-the-plate proteins, such as beef, seafood and poultry. We serve more than 55,000 core customer locations, primarily located in our 23 geographic markets across the United States, the Middle East and Canada, and the majority of our customers are independent restaurants and fine dining establishments. We also sell certain of our center-of-the-plate products directly to consumers through our Allen Brothers subsidiary.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Indicators</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assessing the performance of our business, our management team considers a variety of performance and financial measures. The key measures used by our management are discussed below.</w:t>
      </w:r>
    </w:p>
    <w:p>
      <w:pPr>
        <w:spacing w:after="0" w:line="187" w:lineRule="exact"/>
        <w:rPr>
          <w:sz w:val="20"/>
          <w:szCs w:val="20"/>
          <w:color w:val="auto"/>
        </w:rPr>
      </w:pPr>
    </w:p>
    <w:p>
      <w:pPr>
        <w:ind w:left="500" w:right="100" w:hanging="330"/>
        <w:spacing w:after="0" w:line="261"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sales growth. </w:t>
      </w:r>
      <w:r>
        <w:rPr>
          <w:rFonts w:ascii="Times New Roman" w:cs="Times New Roman" w:eastAsia="Times New Roman" w:hAnsi="Times New Roman"/>
          <w:sz w:val="18"/>
          <w:szCs w:val="18"/>
          <w:color w:val="auto"/>
        </w:rPr>
        <w:t>Our net sales growth is driven principally by changes in volume and, to a lesser degree, changes in price related to the impact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inflation in commodity prices and product mix. In particular, product cost inflation and deflation impact our results of operations and, depending on the amount of inflation or deflation, such impact may be material. For example, inflation may increase the dollar value of our sales, and deflation may cause the dollar value of our sales to fall despite our unit sales remaining constant or growing.</w:t>
      </w:r>
    </w:p>
    <w:p>
      <w:pPr>
        <w:spacing w:after="0" w:line="206" w:lineRule="exact"/>
        <w:rPr>
          <w:rFonts w:ascii="Times New Roman" w:cs="Times New Roman" w:eastAsia="Times New Roman" w:hAnsi="Times New Roman"/>
          <w:sz w:val="18"/>
          <w:szCs w:val="18"/>
          <w:color w:val="auto"/>
        </w:rPr>
      </w:pPr>
    </w:p>
    <w:p>
      <w:pPr>
        <w:jc w:val="both"/>
        <w:ind w:left="500" w:right="200" w:hanging="330"/>
        <w:spacing w:after="0" w:line="267"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Gross profit and gross profit margin. </w:t>
      </w:r>
      <w:r>
        <w:rPr>
          <w:rFonts w:ascii="Times New Roman" w:cs="Times New Roman" w:eastAsia="Times New Roman" w:hAnsi="Times New Roman"/>
          <w:sz w:val="18"/>
          <w:szCs w:val="18"/>
          <w:color w:val="auto"/>
        </w:rPr>
        <w:t>Our gross profit and gross profit as a percentage of net sales, or gross profit margin, are driven principally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volume and fluctuations in food and commodity prices and our ability to pass on any price increases to our customers in an inflationary environment and maintain or increase gross profit margin when our costs decline.</w:t>
      </w:r>
    </w:p>
    <w:p>
      <w:pPr>
        <w:spacing w:after="0" w:line="200" w:lineRule="exact"/>
        <w:rPr>
          <w:rFonts w:ascii="Times New Roman" w:cs="Times New Roman" w:eastAsia="Times New Roman" w:hAnsi="Times New Roman"/>
          <w:sz w:val="18"/>
          <w:szCs w:val="18"/>
          <w:color w:val="auto"/>
        </w:rPr>
      </w:pPr>
    </w:p>
    <w:p>
      <w:pPr>
        <w:ind w:left="500" w:right="38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Inflation. </w:t>
      </w:r>
      <w:r>
        <w:rPr>
          <w:rFonts w:ascii="Times New Roman" w:cs="Times New Roman" w:eastAsia="Times New Roman" w:hAnsi="Times New Roman"/>
          <w:sz w:val="18"/>
          <w:szCs w:val="18"/>
          <w:color w:val="auto"/>
        </w:rPr>
        <w:t>The majority of our pricing is set at the time of order and we typically pass cost increases or decreases to our customers. Our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fully pass along cost changes and the timing of those changes can cause fluctuations in our gross profit margin. Also, some of our pricing to customers is based on a cost-plus methodology, which impacts gross profit in periods of cost inflation or deflation.</w:t>
      </w:r>
    </w:p>
    <w:p>
      <w:pPr>
        <w:spacing w:after="0" w:line="200" w:lineRule="exact"/>
        <w:rPr>
          <w:rFonts w:ascii="Times New Roman" w:cs="Times New Roman" w:eastAsia="Times New Roman" w:hAnsi="Times New Roman"/>
          <w:sz w:val="18"/>
          <w:szCs w:val="18"/>
          <w:color w:val="auto"/>
        </w:rPr>
      </w:pPr>
    </w:p>
    <w:p>
      <w:pPr>
        <w:ind w:left="5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Mix. </w:t>
      </w:r>
      <w:r>
        <w:rPr>
          <w:rFonts w:ascii="Times New Roman" w:cs="Times New Roman" w:eastAsia="Times New Roman" w:hAnsi="Times New Roman"/>
          <w:sz w:val="18"/>
          <w:szCs w:val="18"/>
          <w:color w:val="auto"/>
        </w:rPr>
        <w:t>Our gross profit margin is also a function of the product mix of our net sales in any period. Given our wide selection of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as well as the continuous introduction of new products, we can experience shifts in product sales mix that have an impact on net sales and gross profit margins. Product mix is most significantly impacted by the introduction of new product categories in markets that we have more recently entered and from acquisitions, as well as the continued growth in item penetration on higher velocity items such as dairy products.</w:t>
      </w:r>
    </w:p>
    <w:p>
      <w:pPr>
        <w:spacing w:after="0" w:line="206" w:lineRule="exact"/>
        <w:rPr>
          <w:rFonts w:ascii="Times New Roman" w:cs="Times New Roman" w:eastAsia="Times New Roman" w:hAnsi="Times New Roman"/>
          <w:sz w:val="18"/>
          <w:szCs w:val="18"/>
          <w:color w:val="auto"/>
        </w:rPr>
      </w:pPr>
    </w:p>
    <w:p>
      <w:pPr>
        <w:ind w:left="500" w:right="200" w:hanging="330"/>
        <w:spacing w:after="0" w:line="267"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Volume Measurements. </w:t>
      </w:r>
      <w:r>
        <w:rPr>
          <w:rFonts w:ascii="Times New Roman" w:cs="Times New Roman" w:eastAsia="Times New Roman" w:hAnsi="Times New Roman"/>
          <w:sz w:val="18"/>
          <w:szCs w:val="18"/>
          <w:color w:val="auto"/>
        </w:rPr>
        <w:t>In assessing our results, we utilize both total and organic growth, which excludes growth from an acquired business until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reflected in our results of operations for at least 12 months. We use case count as the volume measurement in our specialty product category and pounds sold as the volume measurement in our center-of-the-plate category.</w:t>
      </w:r>
    </w:p>
    <w:p>
      <w:pPr>
        <w:spacing w:after="0" w:line="200" w:lineRule="exact"/>
        <w:rPr>
          <w:rFonts w:ascii="Times New Roman" w:cs="Times New Roman" w:eastAsia="Times New Roman" w:hAnsi="Times New Roman"/>
          <w:sz w:val="18"/>
          <w:szCs w:val="18"/>
          <w:color w:val="auto"/>
        </w:rPr>
      </w:pPr>
    </w:p>
    <w:p>
      <w:pPr>
        <w:ind w:left="500"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Case count. </w:t>
      </w:r>
      <w:r>
        <w:rPr>
          <w:rFonts w:ascii="Times New Roman" w:cs="Times New Roman" w:eastAsia="Times New Roman" w:hAnsi="Times New Roman"/>
          <w:sz w:val="18"/>
          <w:szCs w:val="18"/>
          <w:color w:val="auto"/>
        </w:rPr>
        <w:t>Case count represents the volume of specialty products sold to customers during a given time period. Case growth is calculated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dividing the change in case volumes sold by the number of cases sold in the prior period. We define a case as the lowest level of packaged products as received from our suppliers, with one case containing several individually packaged units of the same product. Where individual packaged units are sold separately, case volume is calculated using the case equivalent quantity sold.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ind w:left="500"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Pounds sold. </w:t>
      </w:r>
      <w:r>
        <w:rPr>
          <w:rFonts w:ascii="Times New Roman" w:cs="Times New Roman" w:eastAsia="Times New Roman" w:hAnsi="Times New Roman"/>
          <w:sz w:val="18"/>
          <w:szCs w:val="18"/>
          <w:color w:val="auto"/>
        </w:rPr>
        <w:t>Pounds represent the volume of center-of-the-plate products sold to customers during a given time period. Pounds growth is calculated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dividing the change in pound volumes sold by the number of pounds sold in the prior period.</w:t>
      </w:r>
    </w:p>
    <w:p>
      <w:pPr>
        <w:spacing w:after="0" w:line="185" w:lineRule="exact"/>
        <w:rPr>
          <w:sz w:val="20"/>
          <w:szCs w:val="20"/>
          <w:color w:val="auto"/>
        </w:rPr>
      </w:pPr>
    </w:p>
    <w:p>
      <w:pPr>
        <w:ind w:left="500" w:hanging="330"/>
        <w:spacing w:after="0" w:line="257"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Performance Indicators. </w:t>
      </w:r>
      <w:r>
        <w:rPr>
          <w:rFonts w:ascii="Times New Roman" w:cs="Times New Roman" w:eastAsia="Times New Roman" w:hAnsi="Times New Roman"/>
          <w:sz w:val="18"/>
          <w:szCs w:val="18"/>
          <w:color w:val="auto"/>
        </w:rPr>
        <w:t>While case count is used for the volume measurement in the specialty category, we also disclose changes in specialty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unique customers and specialty placements to provide additional context to our results and to the performance of our business. We define unique customers as the number of customers who purchase product in a given week. Each customer, regardless of the number of deliveries made during the week, is counted only once. Placements is the sum of the unique stock-keeping units (“SKUs”) sold per customer, also in a given week. Our customer count and placements measures are subject to adjustments for acquisitions, consolidations, spin-offs, and other market activity, and we present these measures for historical periods reflecting these adjustments.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Acquisitions</w:t>
      </w:r>
    </w:p>
    <w:p>
      <w:pPr>
        <w:spacing w:after="0" w:line="252"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7"/>
          <w:szCs w:val="17"/>
          <w:color w:val="auto"/>
        </w:rPr>
        <w:t>n October 1, 2025, we entered into an asset purchase agreement to acquire substantially all of the assets of Italco Food Products (“Italco”), a premier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specialty food distributor based in Denver, Colorado.</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7"/>
        </w:trPr>
        <w:tc>
          <w:tcPr>
            <w:tcW w:w="200" w:type="dxa"/>
            <w:vAlign w:val="bottom"/>
          </w:tcPr>
          <w:p>
            <w:pPr>
              <w:spacing w:after="0"/>
              <w:rPr>
                <w:sz w:val="22"/>
                <w:szCs w:val="22"/>
                <w:color w:val="auto"/>
              </w:rPr>
            </w:pPr>
          </w:p>
        </w:tc>
        <w:tc>
          <w:tcPr>
            <w:tcW w:w="69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66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20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27, 2026</w:t>
            </w:r>
          </w:p>
        </w:tc>
        <w:tc>
          <w:tcPr>
            <w:tcW w:w="220" w:type="dxa"/>
            <w:vAlign w:val="bottom"/>
          </w:tcPr>
          <w:p>
            <w:pPr>
              <w:spacing w:after="0"/>
              <w:rPr>
                <w:sz w:val="19"/>
                <w:szCs w:val="19"/>
                <w:color w:val="auto"/>
              </w:rPr>
            </w:pPr>
          </w:p>
        </w:tc>
        <w:tc>
          <w:tcPr>
            <w:tcW w:w="16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28, 2025</w:t>
            </w:r>
          </w:p>
        </w:tc>
      </w:tr>
      <w:tr>
        <w:trPr>
          <w:trHeight w:val="223"/>
        </w:trPr>
        <w:tc>
          <w:tcPr>
            <w:tcW w:w="200" w:type="dxa"/>
            <w:vAlign w:val="bottom"/>
          </w:tcPr>
          <w:p>
            <w:pPr>
              <w:spacing w:after="0"/>
              <w:rPr>
                <w:sz w:val="19"/>
                <w:szCs w:val="19"/>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1,059,010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950,748</w:t>
            </w:r>
          </w:p>
        </w:tc>
      </w:tr>
      <w:tr>
        <w:trPr>
          <w:trHeight w:val="229"/>
        </w:trPr>
        <w:tc>
          <w:tcPr>
            <w:tcW w:w="200" w:type="dxa"/>
            <w:vAlign w:val="bottom"/>
          </w:tcPr>
          <w:p>
            <w:pPr>
              <w:spacing w:after="0"/>
              <w:rPr>
                <w:sz w:val="19"/>
                <w:szCs w:val="19"/>
                <w:color w:val="auto"/>
              </w:rPr>
            </w:pPr>
          </w:p>
        </w:tc>
        <w:tc>
          <w:tcPr>
            <w:tcW w:w="6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801,642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724,753</w:t>
            </w:r>
          </w:p>
        </w:tc>
      </w:tr>
      <w:tr>
        <w:trPr>
          <w:trHeight w:val="223"/>
        </w:trPr>
        <w:tc>
          <w:tcPr>
            <w:tcW w:w="200" w:type="dxa"/>
            <w:vAlign w:val="bottom"/>
          </w:tcPr>
          <w:p>
            <w:pPr>
              <w:spacing w:after="0"/>
              <w:rPr>
                <w:sz w:val="19"/>
                <w:szCs w:val="19"/>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225,995</w:t>
            </w:r>
          </w:p>
        </w:tc>
      </w:tr>
      <w:tr>
        <w:trPr>
          <w:trHeight w:val="229"/>
        </w:trPr>
        <w:tc>
          <w:tcPr>
            <w:tcW w:w="200" w:type="dxa"/>
            <w:vAlign w:val="bottom"/>
          </w:tcPr>
          <w:p>
            <w:pPr>
              <w:spacing w:after="0"/>
              <w:rPr>
                <w:sz w:val="19"/>
                <w:szCs w:val="19"/>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202,763</w:t>
            </w:r>
          </w:p>
        </w:tc>
      </w:tr>
      <w:tr>
        <w:trPr>
          <w:trHeight w:val="229"/>
        </w:trPr>
        <w:tc>
          <w:tcPr>
            <w:tcW w:w="200" w:type="dxa"/>
            <w:vAlign w:val="bottom"/>
          </w:tcPr>
          <w:p>
            <w:pPr>
              <w:spacing w:after="0"/>
              <w:rPr>
                <w:sz w:val="19"/>
                <w:szCs w:val="19"/>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23"/>
        </w:trPr>
        <w:tc>
          <w:tcPr>
            <w:tcW w:w="200" w:type="dxa"/>
            <w:vAlign w:val="bottom"/>
          </w:tcPr>
          <w:p>
            <w:pPr>
              <w:spacing w:after="0"/>
              <w:rPr>
                <w:sz w:val="19"/>
                <w:szCs w:val="19"/>
                <w:color w:val="auto"/>
              </w:rPr>
            </w:pP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22,735</w:t>
            </w:r>
          </w:p>
        </w:tc>
      </w:tr>
      <w:tr>
        <w:trPr>
          <w:trHeight w:val="230"/>
        </w:trPr>
        <w:tc>
          <w:tcPr>
            <w:tcW w:w="200" w:type="dxa"/>
            <w:vAlign w:val="bottom"/>
          </w:tcPr>
          <w:p>
            <w:pPr>
              <w:spacing w:after="0"/>
              <w:rPr>
                <w:sz w:val="19"/>
                <w:szCs w:val="19"/>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w:t>
            </w:r>
          </w:p>
        </w:tc>
      </w:tr>
      <w:tr>
        <w:trPr>
          <w:trHeight w:val="223"/>
        </w:trPr>
        <w:tc>
          <w:tcPr>
            <w:tcW w:w="20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12,482</w:t>
            </w:r>
          </w:p>
        </w:tc>
      </w:tr>
      <w:tr>
        <w:trPr>
          <w:trHeight w:val="230"/>
        </w:trPr>
        <w:tc>
          <w:tcPr>
            <w:tcW w:w="200" w:type="dxa"/>
            <w:vAlign w:val="bottom"/>
          </w:tcPr>
          <w:p>
            <w:pPr>
              <w:spacing w:after="0"/>
              <w:rPr>
                <w:sz w:val="19"/>
                <w:szCs w:val="19"/>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r>
      <w:tr>
        <w:trPr>
          <w:trHeight w:val="223"/>
        </w:trPr>
        <w:tc>
          <w:tcPr>
            <w:tcW w:w="20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10,288</w:t>
            </w:r>
          </w:p>
        </w:tc>
      </w:tr>
      <w:tr>
        <w:trPr>
          <w:trHeight w:val="20"/>
        </w:trPr>
        <w:tc>
          <w:tcPr>
            <w:tcW w:w="2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72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Thirteen Weeks Ended March 27, 2026 Compared to Thirteen Weeks Ended March 28, 2025</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59"/>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1"/>
        </w:trPr>
        <w:tc>
          <w:tcPr>
            <w:tcW w:w="5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1,059,010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950,748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108,262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r>
    </w:tbl>
    <w:p>
      <w:pPr>
        <w:spacing w:after="0" w:line="30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Organic growth contributed $98.3 million, or 10.4%, to sales growth and the remaining growth of $10.0 million, or 1.0%, primarily resulting from our acquisition of Italco. Organic case count increased approximately 5.7% in our specialty category, representing an increase in net sales of $33.7 million. In addition, unique customers and placements in our specialty category increased 1.9% and 6.2%, respectively, compared to the prior year quarter. Organic pounds sold in our center-of-the-plate category increased 6.2% compared to the prior year quarter, representing a increase in net sales of $22.3 million. Estimated inflation increased sales by $9.0 million, or 1.5% in our specialty category and by $29.7 million, or 8.2% in our center-of-the-plate category compared to the prior year quarter.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1"/>
        </w:trPr>
        <w:tc>
          <w:tcPr>
            <w:tcW w:w="5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257,368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225,995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31,373</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30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Gross profit dollars increased $25.7 million as a result of sales growth which includes inflation and acquisitions, with the remainder of the increase primarily due to improved gross profit margin rates. Gross profit margin increased approximately 53 basis points due to effective pricing in an inflationary food away from home environment and product cost management. Gross profit margins increased 43 basis points in the Company’s specialty category, or $2.8 million, and increased 110 basis points in the Company’s center-of-the-plate category, or $4.6 million, compared to the prior year quarter.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1"/>
        </w:trPr>
        <w:tc>
          <w:tcPr>
            <w:tcW w:w="5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224,145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202,763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21,382</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39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was primarily due to higher costs associated with compensation and benefits to support sales growth, higher depreciation expense driven by facility and fleet investments and higher self-insurance expense. Our ratio of selling, general and administrative expenses to net sales decreased 10 basis points due to improved fixed cost leverage.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 Net</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51"/>
        </w:trPr>
        <w:tc>
          <w:tcPr>
            <w:tcW w:w="5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 net decreased by $0.4 million primarily due to lower third-party deal costs.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8"/>
        </w:trPr>
        <w:tc>
          <w:tcPr>
            <w:tcW w:w="5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was relatively unchanged compared to the prior year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 Expense</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1"/>
        </w:trPr>
        <w:tc>
          <w:tcPr>
            <w:tcW w:w="5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144.8 %</w:t>
            </w:r>
          </w:p>
        </w:tc>
      </w:tr>
      <w:tr>
        <w:trPr>
          <w:trHeight w:val="23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30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Company’s effective tax rate was 23.6% and 17.6% for the thirteen weeks ended March 27, 2026 and March 28, 2025, respectively. The effective tax rate for the thirteen weeks ended March 27, 2026 reflects a smaller discrete item impact related to first quarter tax benefits from the vesting of stock awards. Exclusive of the first quarter discrete items, the effective tax rate was 30% and 28% for the thirteen weeks ended March 27, 2026 and March 28, 2025,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finance our day-to-day operations and growth primarily with cash flows from operations, borrowings under our senior secured credit facilities and other indebtedness, operating and finance leases, trade payables and equity financing.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9"/>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212529"/>
              </w:rPr>
              <w:t>The following table presents selected financial information on our indebtedness:</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51"/>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27, 2026</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26, 2025</w:t>
            </w:r>
          </w:p>
        </w:tc>
      </w:tr>
      <w:tr>
        <w:trPr>
          <w:trHeight w:val="223"/>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252,000</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outstanding on asset-based loan facility</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3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 and other financing obligations</w:t>
            </w: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119,451</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Transactions</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January 2026, we entered into an amendment to our senior secured term loan agreement, which reduced the interest rate spread by 50 basis points on our senior secured term loan facility. Additionally, during the thirteen weeks ended March 27, 2026, we made a voluntary principal prepayment of $5.0 million towards the senior secured term loan.</w:t>
      </w:r>
    </w:p>
    <w:p>
      <w:pPr>
        <w:spacing w:after="0" w:line="203"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In November 2023, we announced a two-year share repurchase program in an amount up to $100.0 million. In February 2026, the board of directors authorized the extension of the share repurchase program for ten years, subject to that same $100.0 million limit. During the thirteen weeks ended</w:t>
      </w:r>
    </w:p>
    <w:p>
      <w:pPr>
        <w:ind w:right="20"/>
        <w:spacing w:after="0" w:line="255" w:lineRule="auto"/>
        <w:rPr>
          <w:sz w:val="20"/>
          <w:szCs w:val="20"/>
          <w:color w:val="auto"/>
        </w:rPr>
      </w:pPr>
      <w:r>
        <w:rPr>
          <w:rFonts w:ascii="Times New Roman" w:cs="Times New Roman" w:eastAsia="Times New Roman" w:hAnsi="Times New Roman"/>
          <w:sz w:val="18"/>
          <w:szCs w:val="18"/>
          <w:color w:val="auto"/>
        </w:rPr>
        <w:t>March 27, 2026, we repurchased 156,861 shares of our common stock at an average purchase price of $63.75 per share. The share repurchases were funded by our available cash. The remaining share purchase authorization was $57.6 million at March 27, 2026. We are not obligated to repurchase any specific number of shares and may suspend or discontinue the program at any time.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9"/>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The following table presents selected financial information on liquidity:</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37"/>
        </w:trPr>
        <w:tc>
          <w:tcPr>
            <w:tcW w:w="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27, 2026</w:t>
            </w:r>
          </w:p>
        </w:tc>
        <w:tc>
          <w:tcPr>
            <w:tcW w:w="18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26, 2025</w:t>
            </w:r>
          </w:p>
        </w:tc>
      </w:tr>
      <w:tr>
        <w:trPr>
          <w:trHeight w:val="223"/>
        </w:trPr>
        <w:tc>
          <w:tcPr>
            <w:tcW w:w="40" w:type="dxa"/>
            <w:vAlign w:val="bottom"/>
          </w:tcPr>
          <w:p>
            <w:pPr>
              <w:spacing w:after="0"/>
              <w:rPr>
                <w:sz w:val="19"/>
                <w:szCs w:val="19"/>
                <w:color w:val="auto"/>
              </w:rPr>
            </w:pPr>
          </w:p>
        </w:tc>
        <w:tc>
          <w:tcPr>
            <w:tcW w:w="7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120,982</w:t>
            </w:r>
          </w:p>
        </w:tc>
      </w:tr>
      <w:tr>
        <w:trPr>
          <w:trHeight w:val="230"/>
        </w:trPr>
        <w:tc>
          <w:tcPr>
            <w:tcW w:w="40" w:type="dxa"/>
            <w:vAlign w:val="bottom"/>
          </w:tcPr>
          <w:p>
            <w:pPr>
              <w:spacing w:after="0"/>
              <w:rPr>
                <w:sz w:val="19"/>
                <w:szCs w:val="19"/>
                <w:color w:val="auto"/>
              </w:rPr>
            </w:pPr>
          </w:p>
        </w:tc>
        <w:tc>
          <w:tcPr>
            <w:tcW w:w="714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excluding cash and cash equivalents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375,448</w:t>
            </w:r>
          </w:p>
        </w:tc>
      </w:tr>
      <w:tr>
        <w:trPr>
          <w:trHeight w:val="230"/>
        </w:trPr>
        <w:tc>
          <w:tcPr>
            <w:tcW w:w="40" w:type="dxa"/>
            <w:vAlign w:val="bottom"/>
          </w:tcPr>
          <w:p>
            <w:pPr>
              <w:spacing w:after="0"/>
              <w:rPr>
                <w:sz w:val="19"/>
                <w:szCs w:val="19"/>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Availability under asset-based loan facility</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159,516</w:t>
            </w: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We define working capital as current assets less current liabilities.</w:t>
      </w:r>
    </w:p>
    <w:p>
      <w:pPr>
        <w:spacing w:after="0" w:line="19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expect our capital expenditures, excluding cash paid for acquisitions, for fiscal 2026 will be approximately $45.0 million to $55.0 million. We believe our existing balances of cash and cash equivalents, working capital and the availability under our asset-based loan facility, are sufficient to satisfy our working capital needs, capital expenditures, debt service and other liquidity requirements associated with our current operations over the next twelve months.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59"/>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The following table presents selected financial information on cash flows:</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7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gridSpan w:val="4"/>
          </w:tcPr>
          <w:p>
            <w:pPr>
              <w:ind w:left="8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27, 2026</w:t>
            </w:r>
          </w:p>
        </w:tc>
        <w:tc>
          <w:tcPr>
            <w:tcW w:w="240" w:type="dxa"/>
            <w:vAlign w:val="bottom"/>
          </w:tcPr>
          <w:p>
            <w:pPr>
              <w:spacing w:after="0"/>
              <w:rPr>
                <w:sz w:val="19"/>
                <w:szCs w:val="19"/>
                <w:color w:val="auto"/>
              </w:rPr>
            </w:pPr>
          </w:p>
        </w:tc>
        <w:tc>
          <w:tcPr>
            <w:tcW w:w="17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March 28, 2025</w:t>
            </w:r>
          </w:p>
        </w:tc>
      </w:tr>
      <w:tr>
        <w:trPr>
          <w:trHeight w:val="223"/>
        </w:trPr>
        <w:tc>
          <w:tcPr>
            <w:tcW w:w="20" w:type="dxa"/>
            <w:vAlign w:val="bottom"/>
          </w:tcPr>
          <w:p>
            <w:pPr>
              <w:spacing w:after="0"/>
              <w:rPr>
                <w:sz w:val="19"/>
                <w:szCs w:val="19"/>
                <w:color w:val="auto"/>
              </w:rPr>
            </w:pPr>
          </w:p>
        </w:tc>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rPr>
              <w:t>49,566</w:t>
            </w:r>
          </w:p>
        </w:tc>
      </w:tr>
      <w:tr>
        <w:trPr>
          <w:trHeight w:val="229"/>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(12,344)</w:t>
            </w:r>
          </w:p>
        </w:tc>
      </w:tr>
      <w:tr>
        <w:trPr>
          <w:trHeight w:val="230"/>
        </w:trPr>
        <w:tc>
          <w:tcPr>
            <w:tcW w:w="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rPr>
              <w:t>(35,412)</w:t>
            </w:r>
          </w:p>
        </w:tc>
      </w:tr>
    </w:tbl>
    <w:p>
      <w:pPr>
        <w:spacing w:after="0" w:line="3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cash provided by operating activities is predominately driven by net sales to our customers. Our cash used in operating activities is primarily driven by our payments to suppliers for our inventory, employee compensation, payments to support our facilities, our distribution network, interest on our indebtedness, payments to tax authorities and other general corporate expenditures. Net cash provided by operations was $38.3 million for the thirteen weeks ended March 27, 2026 compared to $49.6 million for the thirteen weeks ended March 28, 2025. The decrease in cash provided by operating activities was primarily due to timing inventory purchases and supplier payments, partially offset by sales growth.</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was $7.7 million for the thirteen weeks ended March 27, 2026, driven by capital expenditures.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$28.8 million for the thirteen weeks ended March 27, 2026 driven by $10.1 million paid for shares surrendered to pay tax withholding related to the vesting of equity incentive plan awards, $10.0 million used to repurchase our common stock, $5.8 million of payments of term loan debt and $5.0 million of finance lease payments.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5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Our exposure to interest rate market risk relates primarily to our long-term debt. As of March 27, 2026, we had aggregate indebtedness outstanding of $346.3 million that bore interest at variable rates. A 100 basis point increase in market interest rates would decrease our after-tax earnings by approximately $2.4 million per annum, holding other variables constant.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under the supervision and with the participation of its management, including the Chief Executive Officer and the Chief Financial Officer, evaluated the effectiveness of the design and operation of the Company’s “disclosure controls and procedures” (as defined in Rule 13a-15(e) under the Securities Exchange Act of 1934, as amended (the “Exchange Act”)) as of the end of the period covered by this report. Based on that evaluation, the Chief Executive Officer and the Chief Financial Officer concluded that the Company's disclosure controls and procedures were effective as of March 27,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27, 2026 that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involved in legal proceedings, claims and litigation arising out of the ordinary conduct of our business. Although we cannot assure the outcome, management presently believes that the result of such legal proceedings, either individually or in the aggregate, will not have a material adverse effect on our condensed consolidated financial statements, and no material amounts have been accrued in our condensed consolidated financial statements with respect to these matters.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risk factors as previously disclosed in Part I, Item 1A. included in our Annual Report on Form 10-K for the year ended December 26, 2025. In addition to the information contained herein, you should consider the risk factors disclosed in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4500" w:type="dxa"/>
            <w:vAlign w:val="bottom"/>
            <w:gridSpan w:val="7"/>
          </w:tcPr>
          <w:p>
            <w:pPr>
              <w:ind w:left="38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20" w:type="dxa"/>
            <w:vAlign w:val="bottom"/>
          </w:tcPr>
          <w:p>
            <w:pPr>
              <w:spacing w:after="0"/>
              <w:rPr>
                <w:sz w:val="24"/>
                <w:szCs w:val="24"/>
                <w:color w:val="auto"/>
              </w:rPr>
            </w:pPr>
          </w:p>
        </w:tc>
        <w:tc>
          <w:tcPr>
            <w:tcW w:w="27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0" w:type="dxa"/>
            <w:vAlign w:val="bottom"/>
          </w:tcPr>
          <w:p>
            <w:pPr>
              <w:spacing w:after="0"/>
              <w:rPr>
                <w:sz w:val="1"/>
                <w:szCs w:val="1"/>
                <w:color w:val="auto"/>
              </w:rPr>
            </w:pPr>
          </w:p>
        </w:tc>
      </w:tr>
      <w:tr>
        <w:trPr>
          <w:trHeight w:val="180"/>
        </w:trPr>
        <w:tc>
          <w:tcPr>
            <w:tcW w:w="38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220" w:type="dxa"/>
            <w:vAlign w:val="bottom"/>
          </w:tcPr>
          <w:p>
            <w:pPr>
              <w:spacing w:after="0"/>
              <w:rPr>
                <w:sz w:val="15"/>
                <w:szCs w:val="15"/>
                <w:color w:val="auto"/>
              </w:rPr>
            </w:pPr>
          </w:p>
        </w:tc>
        <w:tc>
          <w:tcPr>
            <w:tcW w:w="2700" w:type="dxa"/>
            <w:vAlign w:val="bottom"/>
          </w:tcPr>
          <w:p>
            <w:pPr>
              <w:jc w:val="center"/>
              <w:ind w:right="130"/>
              <w:spacing w:after="0" w:line="180" w:lineRule="exact"/>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84"/>
        </w:trPr>
        <w:tc>
          <w:tcPr>
            <w:tcW w:w="3820" w:type="dxa"/>
            <w:vAlign w:val="bottom"/>
          </w:tcPr>
          <w:p>
            <w:pPr>
              <w:spacing w:after="0"/>
              <w:rPr>
                <w:sz w:val="16"/>
                <w:szCs w:val="16"/>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8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Purchased as Part</w:t>
            </w:r>
          </w:p>
        </w:tc>
        <w:tc>
          <w:tcPr>
            <w:tcW w:w="220" w:type="dxa"/>
            <w:vAlign w:val="bottom"/>
          </w:tcPr>
          <w:p>
            <w:pPr>
              <w:spacing w:after="0"/>
              <w:rPr>
                <w:sz w:val="16"/>
                <w:szCs w:val="16"/>
                <w:color w:val="auto"/>
              </w:rPr>
            </w:pPr>
          </w:p>
        </w:tc>
        <w:tc>
          <w:tcPr>
            <w:tcW w:w="270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Shares That May</w:t>
            </w: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Price</w:t>
            </w:r>
          </w:p>
        </w:tc>
        <w:tc>
          <w:tcPr>
            <w:tcW w:w="18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of Publicly</w:t>
            </w:r>
          </w:p>
        </w:tc>
        <w:tc>
          <w:tcPr>
            <w:tcW w:w="220" w:type="dxa"/>
            <w:vAlign w:val="bottom"/>
          </w:tcPr>
          <w:p>
            <w:pPr>
              <w:spacing w:after="0"/>
              <w:rPr>
                <w:sz w:val="15"/>
                <w:szCs w:val="15"/>
                <w:color w:val="auto"/>
              </w:rPr>
            </w:pPr>
          </w:p>
        </w:tc>
        <w:tc>
          <w:tcPr>
            <w:tcW w:w="270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Yet Be Purchased</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5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 Per</w:t>
            </w:r>
          </w:p>
        </w:tc>
        <w:tc>
          <w:tcPr>
            <w:tcW w:w="18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220" w:type="dxa"/>
            <w:vAlign w:val="bottom"/>
          </w:tcPr>
          <w:p>
            <w:pPr>
              <w:spacing w:after="0"/>
              <w:rPr>
                <w:sz w:val="16"/>
                <w:szCs w:val="16"/>
                <w:color w:val="auto"/>
              </w:rPr>
            </w:pPr>
          </w:p>
        </w:tc>
        <w:tc>
          <w:tcPr>
            <w:tcW w:w="270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Under the Plans</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19"/>
                <w:szCs w:val="19"/>
                <w:color w:val="auto"/>
              </w:rPr>
            </w:pPr>
          </w:p>
        </w:tc>
        <w:tc>
          <w:tcPr>
            <w:tcW w:w="158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b w:val="1"/>
                <w:bCs w:val="1"/>
                <w:color w:val="auto"/>
                <w:w w:val="95"/>
              </w:rPr>
              <w:t>Repurchased</w:t>
            </w:r>
            <w:r>
              <w:rPr>
                <w:rFonts w:ascii="Times New Roman" w:cs="Times New Roman" w:eastAsia="Times New Roman" w:hAnsi="Times New Roman"/>
                <w:sz w:val="23"/>
                <w:szCs w:val="23"/>
                <w:b w:val="1"/>
                <w:bCs w:val="1"/>
                <w:color w:val="auto"/>
                <w:w w:val="95"/>
                <w:vertAlign w:val="superscript"/>
              </w:rPr>
              <w:t>(1)</w:t>
            </w:r>
          </w:p>
        </w:tc>
        <w:tc>
          <w:tcPr>
            <w:tcW w:w="12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88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b w:val="1"/>
                <w:bCs w:val="1"/>
                <w:color w:val="auto"/>
                <w:w w:val="95"/>
              </w:rPr>
              <w:t>or Programs</w:t>
            </w:r>
            <w:r>
              <w:rPr>
                <w:rFonts w:ascii="Times New Roman" w:cs="Times New Roman" w:eastAsia="Times New Roman" w:hAnsi="Times New Roman"/>
                <w:sz w:val="23"/>
                <w:szCs w:val="23"/>
                <w:b w:val="1"/>
                <w:bCs w:val="1"/>
                <w:color w:val="auto"/>
                <w:w w:val="95"/>
                <w:vertAlign w:val="superscript"/>
              </w:rPr>
              <w:t>(2)</w:t>
            </w:r>
          </w:p>
        </w:tc>
        <w:tc>
          <w:tcPr>
            <w:tcW w:w="220" w:type="dxa"/>
            <w:vAlign w:val="bottom"/>
          </w:tcPr>
          <w:p>
            <w:pPr>
              <w:spacing w:after="0"/>
              <w:rPr>
                <w:sz w:val="19"/>
                <w:szCs w:val="19"/>
                <w:color w:val="auto"/>
              </w:rPr>
            </w:pPr>
          </w:p>
        </w:tc>
        <w:tc>
          <w:tcPr>
            <w:tcW w:w="2700" w:type="dxa"/>
            <w:vAlign w:val="bottom"/>
          </w:tcPr>
          <w:p>
            <w:pPr>
              <w:jc w:val="center"/>
              <w:ind w:right="130"/>
              <w:spacing w:after="0" w:line="230" w:lineRule="exact"/>
              <w:rPr>
                <w:sz w:val="20"/>
                <w:szCs w:val="20"/>
                <w:color w:val="auto"/>
              </w:rPr>
            </w:pPr>
            <w:r>
              <w:rPr>
                <w:rFonts w:ascii="Times New Roman" w:cs="Times New Roman" w:eastAsia="Times New Roman" w:hAnsi="Times New Roman"/>
                <w:sz w:val="18"/>
                <w:szCs w:val="18"/>
                <w:b w:val="1"/>
                <w:bCs w:val="1"/>
                <w:color w:val="auto"/>
                <w:w w:val="97"/>
              </w:rPr>
              <w:t>or Programs (in thousands)</w:t>
            </w:r>
            <w:r>
              <w:rPr>
                <w:rFonts w:ascii="Times New Roman" w:cs="Times New Roman" w:eastAsia="Times New Roman" w:hAnsi="Times New Roman"/>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27, 2025 to January 23, 2026</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67,617</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24, 2026 to February 20, 2026</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67,617</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21, 2026 to March 27,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57,617</w:t>
            </w:r>
          </w:p>
        </w:tc>
        <w:tc>
          <w:tcPr>
            <w:tcW w:w="0" w:type="dxa"/>
            <w:vAlign w:val="bottom"/>
          </w:tcPr>
          <w:p>
            <w:pPr>
              <w:spacing w:after="0"/>
              <w:rPr>
                <w:sz w:val="1"/>
                <w:szCs w:val="1"/>
                <w:color w:val="auto"/>
              </w:rPr>
            </w:pPr>
          </w:p>
        </w:tc>
      </w:tr>
      <w:tr>
        <w:trPr>
          <w:trHeight w:val="223"/>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156,861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57,617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right="180" w:hanging="332"/>
        <w:spacing w:after="0" w:line="256" w:lineRule="auto"/>
        <w:tabs>
          <w:tab w:leader="none" w:pos="33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of our common stock withheld during the thirteen weeks ended March 27, 2026 to satisfy tax withholding requirements related to restricted shares of our common stock awarded to our officers and key employees resulting from either elections under 83(b) of the Internal Revenue Code of 1986, as amended, or upon vesting of such awards, and shares purchased as part of a publicly announced program included in column 3.</w:t>
      </w:r>
    </w:p>
    <w:p>
      <w:pPr>
        <w:ind w:left="340" w:right="240" w:hanging="332"/>
        <w:spacing w:after="0" w:line="260"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2023, we announced a two-year share repurchase program in an amount up to $100.0 million. In February 2026, the board of directors authorized the extension of the share repurchase program for ten years, subject to that same $100.0 million limit.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and Non-Rule 10b5-1 Trading Arrangements</w:t>
      </w:r>
    </w:p>
    <w:p>
      <w:pPr>
        <w:spacing w:after="0" w:line="256"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During the quarter covered by this report, none of our directors and officers (as defined in Rule 16a-1(f) of the Securities Exchange Act, of 1934, as amended) adopted, terminated or modified any contract, instruction or written plan for the purchase or sale of our common stock that was intended to satisfy the affirmative defense conditions of Exchange Act Rule 10b5-1(c) or any non-Rule 10b5-1 trading arrangement (as defined in Item 408 of Regulation S-K).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ITEM 6. EXHIBITS</w:t>
            </w:r>
          </w:p>
        </w:tc>
        <w:tc>
          <w:tcPr>
            <w:tcW w:w="930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26"/>
        </w:trPr>
        <w:tc>
          <w:tcPr>
            <w:tcW w:w="340" w:type="dxa"/>
            <w:vAlign w:val="bottom"/>
            <w:tcBorders>
              <w:top w:val="single" w:sz="8" w:color="auto"/>
            </w:tcBorders>
            <w:gridSpan w:val="2"/>
          </w:tcPr>
          <w:p>
            <w:pPr>
              <w:ind w:left="20"/>
              <w:spacing w:after="0"/>
              <w:rPr>
                <w:rFonts w:ascii="Times New Roman" w:cs="Times New Roman" w:eastAsia="Times New Roman" w:hAnsi="Times New Roman"/>
                <w:sz w:val="18"/>
                <w:szCs w:val="18"/>
                <w:color w:val="0000FF"/>
                <w:w w:val="95"/>
              </w:rPr>
            </w:pPr>
            <w:hyperlink r:id="rId32">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9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9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Amendment No. 14, dated as of January 20, 2026, to the Term Loan Facility (incorporated by reference to Exhibit 10.23 to the</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Company’s Form 10-K filed on February 24, 2026).</w:t>
            </w:r>
          </w:p>
        </w:tc>
      </w:tr>
      <w:tr>
        <w:trPr>
          <w:trHeight w:val="441"/>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r>
      <w:tr>
        <w:trPr>
          <w:trHeight w:val="439"/>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r>
      <w:tr>
        <w:trPr>
          <w:trHeight w:val="439"/>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w:t>
            </w:r>
          </w:p>
        </w:tc>
      </w:tr>
      <w:tr>
        <w:trPr>
          <w:trHeight w:val="439"/>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w:t>
            </w:r>
          </w:p>
        </w:tc>
      </w:tr>
      <w:tr>
        <w:trPr>
          <w:trHeight w:val="453"/>
        </w:trPr>
        <w:tc>
          <w:tcPr>
            <w:tcW w:w="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on the Interactive Data File because its XBRL tags are</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68"/>
        </w:trPr>
        <w:tc>
          <w:tcPr>
            <w:tcW w:w="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59"/>
        </w:trPr>
        <w:tc>
          <w:tcPr>
            <w:tcW w:w="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59"/>
        </w:trPr>
        <w:tc>
          <w:tcPr>
            <w:tcW w:w="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59"/>
        </w:trPr>
        <w:tc>
          <w:tcPr>
            <w:tcW w:w="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59"/>
        </w:trPr>
        <w:tc>
          <w:tcPr>
            <w:tcW w:w="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52" w:lineRule="exact"/>
        <w:rPr>
          <w:sz w:val="20"/>
          <w:szCs w:val="20"/>
          <w:color w:val="auto"/>
        </w:rPr>
      </w:pPr>
    </w:p>
    <w:p>
      <w:pPr>
        <w:ind w:left="1600" w:hanging="1574"/>
        <w:spacing w:after="0"/>
        <w:tabs>
          <w:tab w:leader="none" w:pos="1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887" w:right="69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4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April 29, 2026.</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0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THE CHEFS’ WAREHOUSE, INC.</w:t>
            </w:r>
          </w:p>
        </w:tc>
      </w:tr>
      <w:tr>
        <w:trPr>
          <w:trHeight w:val="238"/>
        </w:trPr>
        <w:tc>
          <w:tcPr>
            <w:tcW w:w="60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(Registrant)</w:t>
            </w:r>
          </w:p>
        </w:tc>
      </w:tr>
      <w:tr>
        <w:trPr>
          <w:trHeight w:val="45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Leddy</w:t>
            </w:r>
          </w:p>
        </w:tc>
      </w:tr>
      <w:tr>
        <w:trPr>
          <w:trHeight w:val="218"/>
        </w:trPr>
        <w:tc>
          <w:tcPr>
            <w:tcW w:w="602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Leddy</w:t>
            </w:r>
          </w:p>
        </w:tc>
      </w:tr>
      <w:tr>
        <w:trPr>
          <w:trHeight w:val="229"/>
        </w:trPr>
        <w:tc>
          <w:tcPr>
            <w:tcW w:w="60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0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5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McCauley</w:t>
            </w:r>
          </w:p>
        </w:tc>
      </w:tr>
      <w:tr>
        <w:trPr>
          <w:trHeight w:val="218"/>
        </w:trPr>
        <w:tc>
          <w:tcPr>
            <w:tcW w:w="602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McCauley</w:t>
            </w:r>
          </w:p>
        </w:tc>
      </w:tr>
      <w:tr>
        <w:trPr>
          <w:trHeight w:val="229"/>
        </w:trPr>
        <w:tc>
          <w:tcPr>
            <w:tcW w:w="60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60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1035" w:right="35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Pappas, certify that:</w:t>
      </w:r>
    </w:p>
    <w:p>
      <w:pPr>
        <w:spacing w:after="0" w:line="144"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Chefs’ Warehouse, Inc.;</w:t>
      </w:r>
    </w:p>
    <w:p>
      <w:pPr>
        <w:spacing w:after="0" w:line="157" w:lineRule="exact"/>
        <w:rPr>
          <w:rFonts w:ascii="Times New Roman" w:cs="Times New Roman" w:eastAsia="Times New Roman" w:hAnsi="Times New Roman"/>
          <w:sz w:val="18"/>
          <w:szCs w:val="18"/>
          <w:color w:val="auto"/>
        </w:rPr>
      </w:pPr>
    </w:p>
    <w:p>
      <w:pPr>
        <w:ind w:left="1300" w:right="520" w:hanging="644"/>
        <w:spacing w:after="0" w:line="266" w:lineRule="auto"/>
        <w:tabs>
          <w:tab w:leader="none" w:pos="9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9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Rule 15d-15(f)) for the registrant and have:</w:t>
      </w:r>
    </w:p>
    <w:p>
      <w:pPr>
        <w:spacing w:after="0" w:line="108"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5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960" w:hanging="656"/>
        <w:spacing w:after="0" w:line="266" w:lineRule="auto"/>
        <w:tabs>
          <w:tab w:leader="none" w:pos="195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960" w:right="100" w:hanging="656"/>
        <w:spacing w:after="0" w:line="266" w:lineRule="auto"/>
        <w:tabs>
          <w:tab w:leader="none" w:pos="195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1300" w:right="140" w:hanging="644"/>
        <w:spacing w:after="0" w:line="312" w:lineRule="auto"/>
        <w:tabs>
          <w:tab w:leader="none" w:pos="96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58"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960" w:right="100" w:hanging="656"/>
        <w:spacing w:after="0" w:line="282" w:lineRule="auto"/>
        <w:tabs>
          <w:tab w:leader="none" w:pos="195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April 29, 2026</w:t>
            </w: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 Christopher Pappas</w:t>
            </w:r>
          </w:p>
        </w:tc>
      </w:tr>
      <w:tr>
        <w:trPr>
          <w:trHeight w:val="218"/>
        </w:trPr>
        <w:tc>
          <w:tcPr>
            <w:tcW w:w="5580" w:type="dxa"/>
            <w:vAlign w:val="bottom"/>
          </w:tcPr>
          <w:p>
            <w:pPr>
              <w:spacing w:after="0"/>
              <w:rPr>
                <w:sz w:val="18"/>
                <w:szCs w:val="18"/>
                <w:color w:val="auto"/>
              </w:rPr>
            </w:pP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Christopher Pappas</w:t>
            </w:r>
          </w:p>
        </w:tc>
      </w:tr>
      <w:tr>
        <w:trPr>
          <w:trHeight w:val="230"/>
        </w:trPr>
        <w:tc>
          <w:tcPr>
            <w:tcW w:w="5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Leddy, certify that:</w:t>
      </w:r>
    </w:p>
    <w:p>
      <w:pPr>
        <w:spacing w:after="0" w:line="144"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Chefs’ Warehouse, Inc.;</w:t>
      </w:r>
    </w:p>
    <w:p>
      <w:pPr>
        <w:spacing w:after="0" w:line="157" w:lineRule="exact"/>
        <w:rPr>
          <w:rFonts w:ascii="Times New Roman" w:cs="Times New Roman" w:eastAsia="Times New Roman" w:hAnsi="Times New Roman"/>
          <w:sz w:val="18"/>
          <w:szCs w:val="18"/>
          <w:color w:val="auto"/>
        </w:rPr>
      </w:pPr>
    </w:p>
    <w:p>
      <w:pPr>
        <w:ind w:left="1300" w:right="520" w:hanging="644"/>
        <w:spacing w:after="0" w:line="266" w:lineRule="auto"/>
        <w:tabs>
          <w:tab w:leader="none" w:pos="9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9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Rule 15d-15(f)) for the registrant and have:</w:t>
      </w:r>
    </w:p>
    <w:p>
      <w:pPr>
        <w:spacing w:after="0" w:line="108"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5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960" w:hanging="656"/>
        <w:spacing w:after="0" w:line="266" w:lineRule="auto"/>
        <w:tabs>
          <w:tab w:leader="none" w:pos="19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960" w:right="100" w:hanging="656"/>
        <w:spacing w:after="0" w:line="266" w:lineRule="auto"/>
        <w:tabs>
          <w:tab w:leader="none" w:pos="195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1300" w:right="140" w:hanging="644"/>
        <w:spacing w:after="0" w:line="312" w:lineRule="auto"/>
        <w:tabs>
          <w:tab w:leader="none" w:pos="96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58"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960" w:right="100" w:hanging="656"/>
        <w:spacing w:after="0" w:line="282" w:lineRule="auto"/>
        <w:tabs>
          <w:tab w:leader="none" w:pos="195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April 29, 2026</w:t>
            </w: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 James Leddy</w:t>
            </w:r>
          </w:p>
        </w:tc>
      </w:tr>
      <w:tr>
        <w:trPr>
          <w:trHeight w:val="218"/>
        </w:trPr>
        <w:tc>
          <w:tcPr>
            <w:tcW w:w="5580" w:type="dxa"/>
            <w:vAlign w:val="bottom"/>
          </w:tcPr>
          <w:p>
            <w:pPr>
              <w:spacing w:after="0"/>
              <w:rPr>
                <w:sz w:val="18"/>
                <w:szCs w:val="18"/>
                <w:color w:val="auto"/>
              </w:rPr>
            </w:pP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James Leddy</w:t>
            </w:r>
          </w:p>
        </w:tc>
      </w:tr>
      <w:tr>
        <w:trPr>
          <w:trHeight w:val="230"/>
        </w:trPr>
        <w:tc>
          <w:tcPr>
            <w:tcW w:w="5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8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Chefs’ Warehouse, Inc. (the “Company”) on Form 10-Q for the quarter ended March 27, 2026, as filed with the Securities and Exchange Commission on the date hereof (the “Report”), I, Christopher Pappas, President and Chief Executive Officer of the Company, certify, pursuant to 18 U.S.C. § 1350, as adopted pursuant to § 906 of the Sarbanes-Oxley Act of 2002, that:</w:t>
      </w:r>
    </w:p>
    <w:p>
      <w:pPr>
        <w:spacing w:after="0" w:line="95"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 Christopher Pappas</w:t>
            </w:r>
          </w:p>
        </w:tc>
      </w:tr>
      <w:tr>
        <w:trPr>
          <w:trHeight w:val="218"/>
        </w:trPr>
        <w:tc>
          <w:tcPr>
            <w:tcW w:w="5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Christopher Pappas</w:t>
            </w:r>
          </w:p>
        </w:tc>
      </w:tr>
      <w:tr>
        <w:trPr>
          <w:trHeight w:val="230"/>
        </w:trPr>
        <w:tc>
          <w:tcPr>
            <w:tcW w:w="5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 or its staff upon request.</w:t>
      </w:r>
    </w:p>
    <w:p>
      <w:pPr>
        <w:sectPr>
          <w:pgSz w:w="11900" w:h="16838" w:orient="portrait"/>
          <w:cols w:equalWidth="0" w:num="1">
            <w:col w:w="11240"/>
          </w:cols>
          <w:pgMar w:left="320" w:top="887"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8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Chefs’ Warehouse, Inc. (the “Company”) on Form 10-Q for the quarter ended March 27, 2026, as filed with the Securities and Exchange Commission on the date hereof (the “Report”), I, James Leddy, Chief Financial Officer of the Company, certify, pursuant to 18 U.S.C. § 1350, as adopted pursuant to § 906 of the Sarbanes-Oxley Act of 2002, that:</w:t>
      </w:r>
    </w:p>
    <w:p>
      <w:pPr>
        <w:spacing w:after="0" w:line="95"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 James Leddy</w:t>
            </w:r>
          </w:p>
        </w:tc>
      </w:tr>
      <w:tr>
        <w:trPr>
          <w:trHeight w:val="218"/>
        </w:trPr>
        <w:tc>
          <w:tcPr>
            <w:tcW w:w="5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James Leddy</w:t>
            </w:r>
          </w:p>
        </w:tc>
      </w:tr>
      <w:tr>
        <w:trPr>
          <w:trHeight w:val="230"/>
        </w:trPr>
        <w:tc>
          <w:tcPr>
            <w:tcW w:w="5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04"/>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3" Type="http://schemas.openxmlformats.org/officeDocument/2006/relationships/image" Target="media/image25.png"/><Relationship Id="rId32" Type="http://schemas.openxmlformats.org/officeDocument/2006/relationships/hyperlink" Target="https://www.sec.gov/Archives/edgar/data/1517175/000151717526000005/chefs-14thamendmenttocred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2026-04-29T07:35:08Z</dcterms:created>
  <dcterms:modified xsi:type="dcterms:W3CDTF">2026-04-29T07:35:08Z</dcterms:modified>
</cp:coreProperties>
</file>