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6310035_8k.htm"/>
      <w:bookmarkStart w:id="1" w:name="ksss6310035_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3_edei--DocumentType_c20260508__20"/>
      <w:bookmarkEnd w:id="2"/>
      <w:r>
        <w:rPr>
          <w:rFonts w:ascii="Times New Roman;Times;Serif" w:hAnsi="Times New Roman;Times;Serif"/>
          <w:b w:val="false"/>
          <w:i w:val="false"/>
          <w:caps w:val="false"/>
          <w:smallCaps w:val="false"/>
          <w:sz w:val="20"/>
        </w:rPr>
        <w:t>8-K</w:t>
      </w:r>
    </w:p>
    <w:p>
      <w:pPr>
        <w:pStyle w:val="TextBody"/>
        <w:bidi w:val="0"/>
        <w:spacing w:lineRule="auto" w:line="288"/>
        <w:jc w:val="left"/>
        <w:rPr>
          <w:caps w:val="false"/>
          <w:smallCaps w:val="false"/>
        </w:rPr>
      </w:pPr>
      <w:r>
        <w:rPr>
          <w:caps w:val="false"/>
          <w:smallCaps w:val="false"/>
        </w:rPr>
        <w:t>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May 8, 2026</w:t>
      </w:r>
    </w:p>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THE CHEFS’ WAREHOUSE, INC.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bl>
      <w:tblPr>
        <w:tblW w:w="6225" w:type="dxa"/>
        <w:jc w:val="left"/>
        <w:tblInd w:w="0" w:type="dxa"/>
        <w:tblLayout w:type="fixed"/>
        <w:tblCellMar>
          <w:top w:w="0" w:type="dxa"/>
          <w:left w:w="0" w:type="dxa"/>
          <w:bottom w:w="0" w:type="dxa"/>
          <w:right w:w="0" w:type="dxa"/>
        </w:tblCellMar>
      </w:tblPr>
      <w:tblGrid>
        <w:gridCol w:w="2210"/>
        <w:gridCol w:w="1100"/>
        <w:gridCol w:w="2915"/>
      </w:tblGrid>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3_edei--EntityIncorporationStateCo"/>
            <w:bookmarkEnd w:id="5"/>
            <w:r>
              <w:rPr>
                <w:rFonts w:ascii="Times New Roman;Times;Serif" w:hAnsi="Times New Roman;Times;Serif"/>
                <w:b w:val="false"/>
                <w:i w:val="false"/>
                <w:caps w:val="false"/>
                <w:smallCaps w:val="false"/>
                <w:sz w:val="20"/>
              </w:rPr>
              <w:t>Delaware</w:t>
            </w:r>
          </w:p>
        </w:tc>
        <w:tc>
          <w:tcPr>
            <w:tcW w:w="110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7_edei--EntityFileNumber_c20260508"/>
            <w:bookmarkEnd w:id="6"/>
            <w:r>
              <w:rPr>
                <w:rFonts w:ascii="Times New Roman;Times;Serif" w:hAnsi="Times New Roman;Times;Serif"/>
                <w:b w:val="false"/>
                <w:i w:val="false"/>
                <w:caps w:val="false"/>
                <w:smallCaps w:val="false"/>
                <w:sz w:val="20"/>
              </w:rPr>
              <w:t>001-35249</w:t>
            </w:r>
          </w:p>
        </w:tc>
        <w:tc>
          <w:tcPr>
            <w:tcW w:w="291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6_edei--EntityTaxIdentificationNum"/>
            <w:bookmarkEnd w:id="7"/>
            <w:r>
              <w:rPr>
                <w:rFonts w:ascii="Times New Roman;Times;Serif" w:hAnsi="Times New Roman;Times;Serif"/>
                <w:b w:val="false"/>
                <w:i w:val="false"/>
                <w:caps w:val="false"/>
                <w:smallCaps w:val="false"/>
                <w:sz w:val="20"/>
              </w:rPr>
              <w:t>20-3031526</w:t>
            </w:r>
          </w:p>
        </w:tc>
      </w:tr>
      <w:tr>
        <w:trPr/>
        <w:tc>
          <w:tcPr>
            <w:tcW w:w="221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val="false"/>
          <w:i w:val="false"/>
          <w:caps w:val="false"/>
          <w:smallCaps w:val="false"/>
          <w:sz w:val="20"/>
        </w:rPr>
        <w:t>100 East Ridge Road</w:t>
      </w:r>
    </w:p>
    <w:p>
      <w:pPr>
        <w:pStyle w:val="TextBody"/>
        <w:bidi w:val="0"/>
        <w:spacing w:lineRule="auto" w:line="288"/>
        <w:jc w:val="center"/>
        <w:rPr>
          <w:rFonts w:ascii="Times New Roman;Times;Serif" w:hAnsi="Times New Roman;Times;Serif"/>
          <w:b w:val="false"/>
          <w:i w:val="false"/>
          <w:caps w:val="false"/>
          <w:smallCaps w:val="false"/>
          <w:sz w:val="20"/>
        </w:rPr>
      </w:pPr>
      <w:bookmarkStart w:id="9" w:name="xdx_90F_edei--EntityAddressCityOrTown_c2"/>
      <w:bookmarkEnd w:id="9"/>
      <w:r>
        <w:rPr>
          <w:rFonts w:ascii="Times New Roman;Times;Serif" w:hAnsi="Times New Roman;Times;Serif"/>
          <w:b w:val="false"/>
          <w:i w:val="false"/>
          <w:caps w:val="false"/>
          <w:smallCaps w:val="false"/>
          <w:sz w:val="20"/>
        </w:rPr>
        <w:t xml:space="preserve">Ridgefield, </w:t>
      </w:r>
      <w:bookmarkStart w:id="10" w:name="xdx_903_edei--EntityAddressStateOrProvin"/>
      <w:bookmarkEnd w:id="10"/>
      <w:r>
        <w:rPr>
          <w:rFonts w:ascii="Times New Roman;Times;Serif" w:hAnsi="Times New Roman;Times;Serif"/>
          <w:b w:val="false"/>
          <w:i w:val="false"/>
          <w:caps w:val="false"/>
          <w:smallCaps w:val="false"/>
          <w:sz w:val="20"/>
        </w:rPr>
        <w:t xml:space="preserve">Connecticut </w:t>
      </w:r>
      <w:bookmarkStart w:id="11" w:name="xdx_902_edei--EntityAddressPostalZipCode"/>
      <w:bookmarkEnd w:id="11"/>
      <w:r>
        <w:rPr>
          <w:rFonts w:ascii="Times New Roman;Times;Serif" w:hAnsi="Times New Roman;Times;Serif"/>
          <w:b w:val="false"/>
          <w:i w:val="false"/>
          <w:caps w:val="false"/>
          <w:smallCaps w:val="false"/>
          <w:sz w:val="20"/>
        </w:rPr>
        <w:t>06877 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60508__20"/>
      <w:bookmarkEnd w:id="12"/>
      <w:r>
        <w:rPr>
          <w:rFonts w:ascii="Times New Roman;Times;Serif" w:hAnsi="Times New Roman;Times;Serif"/>
          <w:b w:val="false"/>
          <w:i w:val="false"/>
          <w:caps w:val="false"/>
          <w:smallCaps w:val="false"/>
          <w:sz w:val="20"/>
        </w:rPr>
        <w:t xml:space="preserve">(203) </w:t>
      </w:r>
      <w:bookmarkStart w:id="13" w:name="xdx_90D_edei--LocalPhoneNumber_c20260508"/>
      <w:bookmarkEnd w:id="13"/>
      <w:r>
        <w:rPr>
          <w:rFonts w:ascii="Times New Roman;Times;Serif" w:hAnsi="Times New Roman;Times;Serif"/>
          <w:b w:val="false"/>
          <w:i w:val="false"/>
          <w:caps w:val="false"/>
          <w:smallCaps w:val="false"/>
          <w:sz w:val="20"/>
        </w:rPr>
        <w:t>894-1345</w:t>
      </w:r>
    </w:p>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lineRule="auto" w:line="288"/>
        <w:jc w:val="both"/>
        <w:rPr>
          <w:caps w:val="false"/>
          <w:smallCaps w:val="false"/>
        </w:rPr>
      </w:pPr>
      <w:r>
        <w:rPr>
          <w:caps w:val="false"/>
          <w:smallCaps w:val="false"/>
        </w:rPr>
        <w:t> </w:t>
      </w:r>
    </w:p>
    <w:p>
      <w:pPr>
        <w:pStyle w:val="TextBody"/>
        <w:bidi w:val="0"/>
        <w:spacing w:lineRule="auto" w:line="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lineRule="auto" w:line="288"/>
        <w:jc w:val="both"/>
        <w:rPr>
          <w:caps w:val="false"/>
          <w:smallCaps w:val="false"/>
        </w:rPr>
      </w:pPr>
      <w:bookmarkStart w:id="14" w:name="xdx_908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lineRule="auto" w:line="288"/>
        <w:jc w:val="both"/>
        <w:rPr>
          <w:caps w:val="false"/>
          <w:smallCaps w:val="false"/>
        </w:rPr>
      </w:pPr>
      <w:bookmarkStart w:id="15" w:name="xdx_90A_edei--SolicitingMaterial_c202605"/>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lineRule="auto" w:line="288"/>
        <w:jc w:val="both"/>
        <w:rPr>
          <w:caps w:val="false"/>
          <w:smallCaps w:val="false"/>
        </w:rPr>
      </w:pPr>
      <w:bookmarkStart w:id="16" w:name="xdx_90E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lineRule="auto" w:line="288"/>
        <w:jc w:val="both"/>
        <w:rPr>
          <w:caps w:val="false"/>
          <w:smallCaps w:val="false"/>
        </w:rPr>
      </w:pPr>
      <w:bookmarkStart w:id="17" w:name="xdx_90A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510" w:type="dxa"/>
        <w:jc w:val="left"/>
        <w:tblInd w:w="0" w:type="dxa"/>
        <w:tblLayout w:type="fixed"/>
        <w:tblCellMar>
          <w:top w:w="0" w:type="dxa"/>
          <w:left w:w="0" w:type="dxa"/>
          <w:bottom w:w="0" w:type="dxa"/>
          <w:right w:w="0" w:type="dxa"/>
        </w:tblCellMar>
      </w:tblPr>
      <w:tblGrid>
        <w:gridCol w:w="3110"/>
        <w:gridCol w:w="1925"/>
        <w:gridCol w:w="4475"/>
      </w:tblGrid>
      <w:tr>
        <w:trPr/>
        <w:tc>
          <w:tcPr>
            <w:tcW w:w="311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center"/>
              <w:rPr>
                <w:b/>
                <w:u w:val="single"/>
              </w:rPr>
            </w:pPr>
            <w:r>
              <w:rPr>
                <w:b/>
                <w:u w:val="single"/>
              </w:rPr>
              <w:t>Title of each class</w:t>
            </w:r>
          </w:p>
        </w:tc>
        <w:tc>
          <w:tcPr>
            <w:tcW w:w="1925" w:type="dxa"/>
            <w:tcBorders/>
            <w:vAlign w:val="center"/>
          </w:tcPr>
          <w:p>
            <w:pPr>
              <w:pStyle w:val="TableContents"/>
              <w:bidi w:val="0"/>
              <w:spacing w:before="0" w:after="283"/>
              <w:jc w:val="center"/>
              <w:rPr>
                <w:b/>
                <w:u w:val="single"/>
              </w:rPr>
            </w:pPr>
            <w:r>
              <w:rPr>
                <w:b/>
                <w:u w:val="single"/>
              </w:rPr>
              <w:t>Trading Symbol(s)</w:t>
            </w:r>
          </w:p>
        </w:tc>
        <w:tc>
          <w:tcPr>
            <w:tcW w:w="4475" w:type="dxa"/>
            <w:tcBorders/>
            <w:vAlign w:val="center"/>
          </w:tcPr>
          <w:p>
            <w:pPr>
              <w:pStyle w:val="TableContents"/>
              <w:bidi w:val="0"/>
              <w:spacing w:before="0" w:after="283"/>
              <w:jc w:val="center"/>
              <w:rPr>
                <w:b/>
                <w:u w:val="single"/>
              </w:rPr>
            </w:pPr>
            <w:r>
              <w:rPr>
                <w:b/>
                <w:u w:val="single"/>
              </w:rPr>
              <w:t>Name of each exchange on which registered</w:t>
            </w:r>
          </w:p>
        </w:tc>
      </w:tr>
      <w:tr>
        <w:trPr/>
        <w:tc>
          <w:tcPr>
            <w:tcW w:w="3110" w:type="dxa"/>
            <w:tcBorders/>
            <w:vAlign w:val="center"/>
          </w:tcPr>
          <w:p>
            <w:pPr>
              <w:pStyle w:val="TableContents"/>
              <w:bidi w:val="0"/>
              <w:spacing w:before="0" w:after="283"/>
              <w:jc w:val="center"/>
              <w:rPr/>
            </w:pPr>
            <w:bookmarkStart w:id="18" w:name="xdx_903_edei--Security12bTitle_c20260508"/>
            <w:bookmarkEnd w:id="18"/>
            <w:r>
              <w:rPr/>
              <w:t>Common Stock, par value $0.01</w:t>
            </w:r>
          </w:p>
        </w:tc>
        <w:tc>
          <w:tcPr>
            <w:tcW w:w="1925" w:type="dxa"/>
            <w:tcBorders/>
            <w:vAlign w:val="center"/>
          </w:tcPr>
          <w:p>
            <w:pPr>
              <w:pStyle w:val="TableContents"/>
              <w:bidi w:val="0"/>
              <w:spacing w:before="0" w:after="283"/>
              <w:jc w:val="center"/>
              <w:rPr/>
            </w:pPr>
            <w:bookmarkStart w:id="19" w:name="xdx_90F_edei--TradingSymbol_c20260508__2"/>
            <w:bookmarkEnd w:id="19"/>
            <w:r>
              <w:rPr/>
              <w:t>CHEF</w:t>
            </w:r>
          </w:p>
        </w:tc>
        <w:tc>
          <w:tcPr>
            <w:tcW w:w="4475" w:type="dxa"/>
            <w:tcBorders/>
            <w:vAlign w:val="center"/>
          </w:tcPr>
          <w:p>
            <w:pPr>
              <w:pStyle w:val="TableContents"/>
              <w:bidi w:val="0"/>
              <w:spacing w:before="0" w:after="283"/>
              <w:jc w:val="center"/>
              <w:rPr/>
            </w:pPr>
            <w:bookmarkStart w:id="20" w:name="xdx_903_edei--SecurityExchangeName_c2026"/>
            <w:bookmarkEnd w:id="20"/>
            <w:r>
              <w:rPr/>
              <w:t>The NASDAQ Stock Market LLC</w:t>
            </w:r>
          </w:p>
        </w:tc>
      </w:tr>
    </w:tbl>
    <w:p>
      <w:pPr>
        <w:pStyle w:val="TextBody"/>
        <w:bidi w:val="0"/>
        <w:spacing w:lineRule="auto" w:line="288" w:before="80" w:after="80"/>
        <w:ind w:left="80" w:right="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80" w:after="80"/>
        <w:ind w:left="80" w:right="8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 </w:t>
      </w:r>
    </w:p>
    <w:p>
      <w:pPr>
        <w:pStyle w:val="TextBody"/>
        <w:bidi w:val="0"/>
        <w:spacing w:lineRule="auto" w:line="288" w:before="40" w:after="4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lineRule="auto" w:line="288"/>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6348" w:type="dxa"/>
        <w:jc w:val="left"/>
        <w:tblInd w:w="0" w:type="dxa"/>
        <w:tblLayout w:type="fixed"/>
        <w:tblCellMar>
          <w:top w:w="0" w:type="dxa"/>
          <w:left w:w="0" w:type="dxa"/>
          <w:bottom w:w="0" w:type="dxa"/>
          <w:right w:w="0" w:type="dxa"/>
        </w:tblCellMar>
      </w:tblPr>
      <w:tblGrid>
        <w:gridCol w:w="38"/>
        <w:gridCol w:w="96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lineRule="atLeast" w:line="300"/>
        <w:jc w:val="left"/>
        <w:rPr>
          <w:caps w:val="false"/>
          <w:smallCaps w:val="false"/>
        </w:rPr>
      </w:pPr>
      <w:r>
        <w:rPr>
          <w:caps w:val="false"/>
          <w:smallCaps w:val="false"/>
        </w:rPr>
        <w:t> </w:t>
      </w:r>
    </w:p>
    <w:p>
      <w:pPr>
        <w:pStyle w:val="TextBody"/>
        <w:bidi w:val="0"/>
        <w:spacing w:lineRule="atLeast" w:line="3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2026 Annual Meeting of stockholders of The Chefs’ Warehouse, Inc. (the “Company”), held on May 8, 2026 (the “2026 Annual Meeting”), a total of 38,249,121 shares of common stock, representing 93.79% of the 40,777,629 shares of common stock outstanding and entitled to vote as of the record date for the 2026 Annual Meeting, were present or represented by proxies. The Company’s stockholders voted on three proposals at the 2026 Annual Meeting. The results of voting on the three proposals, including final voting tabulations, are set forth below.</w:t>
      </w:r>
    </w:p>
    <w:p>
      <w:pPr>
        <w:pStyle w:val="TextBody"/>
        <w:bidi w:val="0"/>
        <w:spacing w:lineRule="atLeast" w:line="300"/>
        <w:jc w:val="left"/>
        <w:rPr>
          <w:caps w:val="false"/>
          <w:smallCaps w:val="false"/>
        </w:rPr>
      </w:pPr>
      <w:r>
        <w:rPr>
          <w:caps w:val="false"/>
          <w:smallCaps w:val="false"/>
        </w:rPr>
        <w:t> </w:t>
      </w:r>
    </w:p>
    <w:p>
      <w:pPr>
        <w:pStyle w:val="TextBody"/>
        <w:bidi w:val="0"/>
        <w:spacing w:lineRule="atLeast" w:line="3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stockholders elected Steven F. Goldstone, Aylwin Lewis, Lester Owens, Christopher Pappas, John Pappas, Richard N. Peretz, Debra Walton-Ruskin and Wendy M. Weinstein to serve as directors to hold office until the annual meeting of stockholders to be held in 2027 and until their successors are duly elected and qualified. As previously disclosed in the Company’s Current Report on Form 8-K filed on April 24, 2026, Ivy Brown did not stand for reelection at the 2026 Annual Meeting, and her seat will remain vacant until such time as the Company’s Board of Directors (the “Board”) identifies a new director or reduces the size of the Board.</w:t>
      </w:r>
    </w:p>
    <w:p>
      <w:pPr>
        <w:pStyle w:val="TextBody"/>
        <w:bidi w:val="0"/>
        <w:spacing w:lineRule="atLeast" w:line="30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805"/>
        <w:gridCol w:w="950"/>
        <w:gridCol w:w="845"/>
        <w:gridCol w:w="950"/>
        <w:gridCol w:w="1505"/>
      </w:tblGrid>
      <w:tr>
        <w:trPr/>
        <w:tc>
          <w:tcPr>
            <w:tcW w:w="1805" w:type="dxa"/>
            <w:tcBorders/>
            <w:vAlign w:val="center"/>
          </w:tcPr>
          <w:p>
            <w:pPr>
              <w:pStyle w:val="TableContents"/>
              <w:bidi w:val="0"/>
              <w:spacing w:lineRule="atLeast" w:line="250" w:before="0" w:after="283"/>
              <w:jc w:val="left"/>
              <w:rPr>
                <w:sz w:val="20"/>
                <w:u w:val="single"/>
              </w:rPr>
            </w:pPr>
            <w:r>
              <w:rPr>
                <w:sz w:val="20"/>
                <w:u w:val="single"/>
              </w:rPr>
              <w:t>Nominee</w:t>
            </w:r>
          </w:p>
        </w:tc>
        <w:tc>
          <w:tcPr>
            <w:tcW w:w="950" w:type="dxa"/>
            <w:tcBorders/>
            <w:vAlign w:val="center"/>
          </w:tcPr>
          <w:p>
            <w:pPr>
              <w:pStyle w:val="TableContents"/>
              <w:bidi w:val="0"/>
              <w:spacing w:lineRule="atLeast" w:line="250" w:before="0" w:after="283"/>
              <w:jc w:val="left"/>
              <w:rPr>
                <w:sz w:val="20"/>
              </w:rPr>
            </w:pPr>
            <w:r>
              <w:rPr>
                <w:sz w:val="20"/>
                <w:u w:val="single"/>
              </w:rPr>
              <w:t>For</w:t>
            </w:r>
            <w:r>
              <w:rPr>
                <w:sz w:val="20"/>
              </w:rPr>
              <w:t> </w:t>
            </w:r>
          </w:p>
        </w:tc>
        <w:tc>
          <w:tcPr>
            <w:tcW w:w="845" w:type="dxa"/>
            <w:tcBorders/>
            <w:vAlign w:val="center"/>
          </w:tcPr>
          <w:p>
            <w:pPr>
              <w:pStyle w:val="TableContents"/>
              <w:bidi w:val="0"/>
              <w:spacing w:lineRule="atLeast" w:line="250" w:before="0" w:after="283"/>
              <w:jc w:val="left"/>
              <w:rPr>
                <w:sz w:val="20"/>
              </w:rPr>
            </w:pPr>
            <w:r>
              <w:rPr>
                <w:sz w:val="20"/>
                <w:u w:val="single"/>
              </w:rPr>
              <w:t>Against</w:t>
            </w:r>
            <w:r>
              <w:rPr>
                <w:sz w:val="20"/>
              </w:rPr>
              <w:t> </w:t>
            </w:r>
          </w:p>
        </w:tc>
        <w:tc>
          <w:tcPr>
            <w:tcW w:w="950" w:type="dxa"/>
            <w:tcBorders/>
            <w:vAlign w:val="center"/>
          </w:tcPr>
          <w:p>
            <w:pPr>
              <w:pStyle w:val="TableContents"/>
              <w:bidi w:val="0"/>
              <w:spacing w:lineRule="atLeast" w:line="250" w:before="0" w:after="283"/>
              <w:jc w:val="left"/>
              <w:rPr>
                <w:sz w:val="20"/>
              </w:rPr>
            </w:pPr>
            <w:r>
              <w:rPr>
                <w:sz w:val="20"/>
                <w:u w:val="single"/>
              </w:rPr>
              <w:t>Abstain</w:t>
            </w:r>
            <w:r>
              <w:rPr>
                <w:sz w:val="20"/>
              </w:rPr>
              <w:t> </w:t>
            </w:r>
          </w:p>
        </w:tc>
        <w:tc>
          <w:tcPr>
            <w:tcW w:w="1505" w:type="dxa"/>
            <w:tcBorders/>
            <w:vAlign w:val="center"/>
          </w:tcPr>
          <w:p>
            <w:pPr>
              <w:pStyle w:val="TableContents"/>
              <w:bidi w:val="0"/>
              <w:spacing w:lineRule="atLeast" w:line="250" w:before="0" w:after="283"/>
              <w:jc w:val="left"/>
              <w:rPr>
                <w:sz w:val="20"/>
                <w:u w:val="single"/>
              </w:rPr>
            </w:pPr>
            <w:r>
              <w:rPr>
                <w:sz w:val="20"/>
                <w:u w:val="single"/>
              </w:rPr>
              <w:t>Broker Non-Votes</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Ivy Brown</w:t>
            </w:r>
          </w:p>
        </w:tc>
        <w:tc>
          <w:tcPr>
            <w:tcW w:w="950" w:type="dxa"/>
            <w:tcBorders/>
            <w:shd w:fill="FFFFFF" w:val="clear"/>
            <w:vAlign w:val="center"/>
          </w:tcPr>
          <w:p>
            <w:pPr>
              <w:pStyle w:val="TableContents"/>
              <w:bidi w:val="0"/>
              <w:spacing w:lineRule="atLeast" w:line="250" w:before="0" w:after="283"/>
              <w:jc w:val="left"/>
              <w:rPr>
                <w:sz w:val="20"/>
              </w:rPr>
            </w:pPr>
            <w:r>
              <w:rPr>
                <w:sz w:val="20"/>
              </w:rPr>
              <w:t>9,866,446</w:t>
            </w:r>
          </w:p>
        </w:tc>
        <w:tc>
          <w:tcPr>
            <w:tcW w:w="845" w:type="dxa"/>
            <w:tcBorders/>
            <w:shd w:fill="FFFFFF" w:val="clear"/>
            <w:vAlign w:val="center"/>
          </w:tcPr>
          <w:p>
            <w:pPr>
              <w:pStyle w:val="TableContents"/>
              <w:bidi w:val="0"/>
              <w:spacing w:lineRule="atLeast" w:line="250" w:before="0" w:after="283"/>
              <w:jc w:val="left"/>
              <w:rPr>
                <w:sz w:val="20"/>
              </w:rPr>
            </w:pPr>
            <w:r>
              <w:rPr>
                <w:sz w:val="20"/>
              </w:rPr>
              <w:t>3,880</w:t>
            </w:r>
          </w:p>
        </w:tc>
        <w:tc>
          <w:tcPr>
            <w:tcW w:w="950" w:type="dxa"/>
            <w:tcBorders/>
            <w:shd w:fill="FFFFFF" w:val="clear"/>
            <w:vAlign w:val="center"/>
          </w:tcPr>
          <w:p>
            <w:pPr>
              <w:pStyle w:val="TableContents"/>
              <w:bidi w:val="0"/>
              <w:spacing w:lineRule="atLeast" w:line="250" w:before="0" w:after="283"/>
              <w:jc w:val="left"/>
              <w:rPr>
                <w:sz w:val="20"/>
              </w:rPr>
            </w:pPr>
            <w:r>
              <w:rPr>
                <w:sz w:val="20"/>
              </w:rPr>
              <w:t>26,954,789</w:t>
            </w:r>
          </w:p>
        </w:tc>
        <w:tc>
          <w:tcPr>
            <w:tcW w:w="1505" w:type="dxa"/>
            <w:tcBorders/>
            <w:shd w:fill="FFFFFF" w:val="clear"/>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Steven F. Goldstone</w:t>
            </w:r>
          </w:p>
        </w:tc>
        <w:tc>
          <w:tcPr>
            <w:tcW w:w="950" w:type="dxa"/>
            <w:tcBorders/>
            <w:shd w:fill="FFFFFF" w:val="clear"/>
            <w:vAlign w:val="center"/>
          </w:tcPr>
          <w:p>
            <w:pPr>
              <w:pStyle w:val="TableContents"/>
              <w:bidi w:val="0"/>
              <w:spacing w:lineRule="atLeast" w:line="250" w:before="0" w:after="283"/>
              <w:jc w:val="left"/>
              <w:rPr>
                <w:sz w:val="20"/>
              </w:rPr>
            </w:pPr>
            <w:r>
              <w:rPr>
                <w:sz w:val="20"/>
              </w:rPr>
              <w:t>36,139,647</w:t>
            </w:r>
          </w:p>
        </w:tc>
        <w:tc>
          <w:tcPr>
            <w:tcW w:w="845" w:type="dxa"/>
            <w:tcBorders/>
            <w:shd w:fill="FFFFFF" w:val="clear"/>
            <w:vAlign w:val="center"/>
          </w:tcPr>
          <w:p>
            <w:pPr>
              <w:pStyle w:val="TableContents"/>
              <w:bidi w:val="0"/>
              <w:spacing w:lineRule="atLeast" w:line="250" w:before="0" w:after="283"/>
              <w:jc w:val="left"/>
              <w:rPr>
                <w:sz w:val="20"/>
              </w:rPr>
            </w:pPr>
            <w:r>
              <w:rPr>
                <w:sz w:val="20"/>
              </w:rPr>
              <w:t>626,084</w:t>
            </w:r>
          </w:p>
        </w:tc>
        <w:tc>
          <w:tcPr>
            <w:tcW w:w="950" w:type="dxa"/>
            <w:tcBorders/>
            <w:shd w:fill="FFFFFF" w:val="clear"/>
            <w:vAlign w:val="center"/>
          </w:tcPr>
          <w:p>
            <w:pPr>
              <w:pStyle w:val="TableContents"/>
              <w:bidi w:val="0"/>
              <w:spacing w:lineRule="atLeast" w:line="250" w:before="0" w:after="283"/>
              <w:jc w:val="left"/>
              <w:rPr>
                <w:sz w:val="20"/>
              </w:rPr>
            </w:pPr>
            <w:r>
              <w:rPr>
                <w:sz w:val="20"/>
              </w:rPr>
              <w:t>59,384</w:t>
            </w:r>
          </w:p>
        </w:tc>
        <w:tc>
          <w:tcPr>
            <w:tcW w:w="1505" w:type="dxa"/>
            <w:tcBorders/>
            <w:shd w:fill="FFFFFF" w:val="clear"/>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Aylwin Lewis</w:t>
            </w:r>
          </w:p>
        </w:tc>
        <w:tc>
          <w:tcPr>
            <w:tcW w:w="950" w:type="dxa"/>
            <w:tcBorders/>
            <w:shd w:fill="FFFFFF" w:val="clear"/>
            <w:vAlign w:val="center"/>
          </w:tcPr>
          <w:p>
            <w:pPr>
              <w:pStyle w:val="TableContents"/>
              <w:bidi w:val="0"/>
              <w:spacing w:lineRule="atLeast" w:line="250" w:before="0" w:after="283"/>
              <w:jc w:val="left"/>
              <w:rPr>
                <w:sz w:val="20"/>
              </w:rPr>
            </w:pPr>
            <w:r>
              <w:rPr>
                <w:sz w:val="20"/>
              </w:rPr>
              <w:t>26,919,885</w:t>
            </w:r>
          </w:p>
        </w:tc>
        <w:tc>
          <w:tcPr>
            <w:tcW w:w="845" w:type="dxa"/>
            <w:tcBorders/>
            <w:shd w:fill="FFFFFF" w:val="clear"/>
            <w:vAlign w:val="center"/>
          </w:tcPr>
          <w:p>
            <w:pPr>
              <w:pStyle w:val="TableContents"/>
              <w:bidi w:val="0"/>
              <w:spacing w:lineRule="atLeast" w:line="250" w:before="0" w:after="283"/>
              <w:jc w:val="left"/>
              <w:rPr>
                <w:sz w:val="20"/>
              </w:rPr>
            </w:pPr>
            <w:r>
              <w:rPr>
                <w:sz w:val="20"/>
              </w:rPr>
              <w:t>9,845,659</w:t>
            </w:r>
          </w:p>
        </w:tc>
        <w:tc>
          <w:tcPr>
            <w:tcW w:w="950" w:type="dxa"/>
            <w:tcBorders/>
            <w:shd w:fill="FFFFFF" w:val="clear"/>
            <w:vAlign w:val="center"/>
          </w:tcPr>
          <w:p>
            <w:pPr>
              <w:pStyle w:val="TableContents"/>
              <w:bidi w:val="0"/>
              <w:spacing w:lineRule="atLeast" w:line="250" w:before="0" w:after="283"/>
              <w:jc w:val="left"/>
              <w:rPr>
                <w:sz w:val="20"/>
              </w:rPr>
            </w:pPr>
            <w:r>
              <w:rPr>
                <w:sz w:val="20"/>
              </w:rPr>
              <w:t>59,571</w:t>
            </w:r>
          </w:p>
        </w:tc>
        <w:tc>
          <w:tcPr>
            <w:tcW w:w="1505" w:type="dxa"/>
            <w:tcBorders/>
            <w:shd w:fill="FFFFFF" w:val="clear"/>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Lester Owens</w:t>
            </w:r>
          </w:p>
        </w:tc>
        <w:tc>
          <w:tcPr>
            <w:tcW w:w="950" w:type="dxa"/>
            <w:tcBorders/>
            <w:shd w:fill="FFFFFF" w:val="clear"/>
            <w:vAlign w:val="center"/>
          </w:tcPr>
          <w:p>
            <w:pPr>
              <w:pStyle w:val="TableContents"/>
              <w:bidi w:val="0"/>
              <w:spacing w:lineRule="atLeast" w:line="250" w:before="0" w:after="283"/>
              <w:jc w:val="left"/>
              <w:rPr>
                <w:sz w:val="20"/>
              </w:rPr>
            </w:pPr>
            <w:r>
              <w:rPr>
                <w:sz w:val="20"/>
              </w:rPr>
              <w:t>36,641,961</w:t>
            </w:r>
          </w:p>
        </w:tc>
        <w:tc>
          <w:tcPr>
            <w:tcW w:w="845" w:type="dxa"/>
            <w:tcBorders/>
            <w:shd w:fill="FFFFFF" w:val="clear"/>
            <w:vAlign w:val="center"/>
          </w:tcPr>
          <w:p>
            <w:pPr>
              <w:pStyle w:val="TableContents"/>
              <w:bidi w:val="0"/>
              <w:spacing w:lineRule="atLeast" w:line="250" w:before="0" w:after="283"/>
              <w:jc w:val="left"/>
              <w:rPr>
                <w:sz w:val="20"/>
              </w:rPr>
            </w:pPr>
            <w:r>
              <w:rPr>
                <w:sz w:val="20"/>
              </w:rPr>
              <w:t>123,244</w:t>
            </w:r>
          </w:p>
        </w:tc>
        <w:tc>
          <w:tcPr>
            <w:tcW w:w="950" w:type="dxa"/>
            <w:tcBorders/>
            <w:shd w:fill="FFFFFF" w:val="clear"/>
            <w:vAlign w:val="center"/>
          </w:tcPr>
          <w:p>
            <w:pPr>
              <w:pStyle w:val="TableContents"/>
              <w:bidi w:val="0"/>
              <w:spacing w:lineRule="atLeast" w:line="250" w:before="0" w:after="283"/>
              <w:jc w:val="left"/>
              <w:rPr>
                <w:sz w:val="20"/>
              </w:rPr>
            </w:pPr>
            <w:r>
              <w:rPr>
                <w:sz w:val="20"/>
              </w:rPr>
              <w:t>59,910</w:t>
            </w:r>
          </w:p>
        </w:tc>
        <w:tc>
          <w:tcPr>
            <w:tcW w:w="1505" w:type="dxa"/>
            <w:tcBorders/>
            <w:shd w:fill="FFFFFF" w:val="clear"/>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Christopher Pappas</w:t>
            </w:r>
          </w:p>
        </w:tc>
        <w:tc>
          <w:tcPr>
            <w:tcW w:w="950" w:type="dxa"/>
            <w:tcBorders/>
            <w:shd w:fill="FFFFFF" w:val="clear"/>
            <w:vAlign w:val="center"/>
          </w:tcPr>
          <w:p>
            <w:pPr>
              <w:pStyle w:val="TableContents"/>
              <w:bidi w:val="0"/>
              <w:spacing w:lineRule="atLeast" w:line="250" w:before="0" w:after="283"/>
              <w:jc w:val="left"/>
              <w:rPr>
                <w:sz w:val="20"/>
              </w:rPr>
            </w:pPr>
            <w:r>
              <w:rPr>
                <w:sz w:val="20"/>
              </w:rPr>
              <w:t>36,542,465</w:t>
            </w:r>
          </w:p>
        </w:tc>
        <w:tc>
          <w:tcPr>
            <w:tcW w:w="845" w:type="dxa"/>
            <w:tcBorders/>
            <w:shd w:fill="FFFFFF" w:val="clear"/>
            <w:vAlign w:val="center"/>
          </w:tcPr>
          <w:p>
            <w:pPr>
              <w:pStyle w:val="TableContents"/>
              <w:bidi w:val="0"/>
              <w:spacing w:lineRule="atLeast" w:line="250" w:before="0" w:after="283"/>
              <w:jc w:val="left"/>
              <w:rPr>
                <w:sz w:val="20"/>
              </w:rPr>
            </w:pPr>
            <w:r>
              <w:rPr>
                <w:sz w:val="20"/>
              </w:rPr>
              <w:t>176,158</w:t>
            </w:r>
          </w:p>
        </w:tc>
        <w:tc>
          <w:tcPr>
            <w:tcW w:w="950" w:type="dxa"/>
            <w:tcBorders/>
            <w:shd w:fill="FFFFFF" w:val="clear"/>
            <w:vAlign w:val="center"/>
          </w:tcPr>
          <w:p>
            <w:pPr>
              <w:pStyle w:val="TableContents"/>
              <w:bidi w:val="0"/>
              <w:spacing w:lineRule="atLeast" w:line="250" w:before="0" w:after="283"/>
              <w:jc w:val="left"/>
              <w:rPr>
                <w:sz w:val="20"/>
              </w:rPr>
            </w:pPr>
            <w:r>
              <w:rPr>
                <w:sz w:val="20"/>
              </w:rPr>
              <w:t>106,492</w:t>
            </w:r>
          </w:p>
        </w:tc>
        <w:tc>
          <w:tcPr>
            <w:tcW w:w="1505" w:type="dxa"/>
            <w:tcBorders/>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John Pappas</w:t>
            </w:r>
          </w:p>
        </w:tc>
        <w:tc>
          <w:tcPr>
            <w:tcW w:w="950" w:type="dxa"/>
            <w:tcBorders/>
            <w:shd w:fill="FFFFFF" w:val="clear"/>
            <w:vAlign w:val="center"/>
          </w:tcPr>
          <w:p>
            <w:pPr>
              <w:pStyle w:val="TableContents"/>
              <w:bidi w:val="0"/>
              <w:spacing w:lineRule="atLeast" w:line="250" w:before="0" w:after="283"/>
              <w:jc w:val="left"/>
              <w:rPr>
                <w:sz w:val="20"/>
              </w:rPr>
            </w:pPr>
            <w:r>
              <w:rPr>
                <w:sz w:val="20"/>
              </w:rPr>
              <w:t>36,682,177</w:t>
            </w:r>
          </w:p>
        </w:tc>
        <w:tc>
          <w:tcPr>
            <w:tcW w:w="845" w:type="dxa"/>
            <w:tcBorders/>
            <w:shd w:fill="FFFFFF" w:val="clear"/>
            <w:vAlign w:val="center"/>
          </w:tcPr>
          <w:p>
            <w:pPr>
              <w:pStyle w:val="TableContents"/>
              <w:bidi w:val="0"/>
              <w:spacing w:lineRule="atLeast" w:line="250" w:before="0" w:after="283"/>
              <w:jc w:val="left"/>
              <w:rPr>
                <w:sz w:val="20"/>
              </w:rPr>
            </w:pPr>
            <w:r>
              <w:rPr>
                <w:sz w:val="20"/>
              </w:rPr>
              <w:t>85,218</w:t>
            </w:r>
          </w:p>
        </w:tc>
        <w:tc>
          <w:tcPr>
            <w:tcW w:w="950" w:type="dxa"/>
            <w:tcBorders/>
            <w:shd w:fill="FFFFFF" w:val="clear"/>
            <w:vAlign w:val="center"/>
          </w:tcPr>
          <w:p>
            <w:pPr>
              <w:pStyle w:val="TableContents"/>
              <w:bidi w:val="0"/>
              <w:spacing w:lineRule="atLeast" w:line="250" w:before="0" w:after="283"/>
              <w:jc w:val="left"/>
              <w:rPr>
                <w:sz w:val="20"/>
              </w:rPr>
            </w:pPr>
            <w:r>
              <w:rPr>
                <w:sz w:val="20"/>
              </w:rPr>
              <w:t>57,720</w:t>
            </w:r>
          </w:p>
        </w:tc>
        <w:tc>
          <w:tcPr>
            <w:tcW w:w="1505" w:type="dxa"/>
            <w:tcBorders/>
            <w:shd w:fill="FFFFFF" w:val="clear"/>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Richard N. Peretz</w:t>
            </w:r>
          </w:p>
        </w:tc>
        <w:tc>
          <w:tcPr>
            <w:tcW w:w="950" w:type="dxa"/>
            <w:tcBorders/>
            <w:shd w:fill="FFFFFF" w:val="clear"/>
            <w:vAlign w:val="center"/>
          </w:tcPr>
          <w:p>
            <w:pPr>
              <w:pStyle w:val="TableContents"/>
              <w:bidi w:val="0"/>
              <w:spacing w:lineRule="atLeast" w:line="250" w:before="0" w:after="283"/>
              <w:jc w:val="left"/>
              <w:rPr>
                <w:sz w:val="20"/>
              </w:rPr>
            </w:pPr>
            <w:r>
              <w:rPr>
                <w:sz w:val="20"/>
              </w:rPr>
              <w:t>36,643,399</w:t>
            </w:r>
          </w:p>
        </w:tc>
        <w:tc>
          <w:tcPr>
            <w:tcW w:w="845" w:type="dxa"/>
            <w:tcBorders/>
            <w:shd w:fill="FFFFFF" w:val="clear"/>
            <w:vAlign w:val="center"/>
          </w:tcPr>
          <w:p>
            <w:pPr>
              <w:pStyle w:val="TableContents"/>
              <w:bidi w:val="0"/>
              <w:spacing w:lineRule="atLeast" w:line="250" w:before="0" w:after="283"/>
              <w:jc w:val="left"/>
              <w:rPr>
                <w:sz w:val="20"/>
              </w:rPr>
            </w:pPr>
            <w:r>
              <w:rPr>
                <w:sz w:val="20"/>
              </w:rPr>
              <w:t>122,145</w:t>
            </w:r>
          </w:p>
        </w:tc>
        <w:tc>
          <w:tcPr>
            <w:tcW w:w="950" w:type="dxa"/>
            <w:tcBorders/>
            <w:shd w:fill="FFFFFF" w:val="clear"/>
            <w:vAlign w:val="center"/>
          </w:tcPr>
          <w:p>
            <w:pPr>
              <w:pStyle w:val="TableContents"/>
              <w:bidi w:val="0"/>
              <w:spacing w:lineRule="atLeast" w:line="250" w:before="0" w:after="283"/>
              <w:jc w:val="left"/>
              <w:rPr>
                <w:sz w:val="20"/>
              </w:rPr>
            </w:pPr>
            <w:r>
              <w:rPr>
                <w:sz w:val="20"/>
              </w:rPr>
              <w:t>59,571</w:t>
            </w:r>
          </w:p>
        </w:tc>
        <w:tc>
          <w:tcPr>
            <w:tcW w:w="1505" w:type="dxa"/>
            <w:tcBorders/>
            <w:shd w:fill="FFFFFF" w:val="clear"/>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Debra Walton-Ruskin</w:t>
            </w:r>
          </w:p>
        </w:tc>
        <w:tc>
          <w:tcPr>
            <w:tcW w:w="950" w:type="dxa"/>
            <w:tcBorders/>
            <w:shd w:fill="FFFFFF" w:val="clear"/>
            <w:vAlign w:val="center"/>
          </w:tcPr>
          <w:p>
            <w:pPr>
              <w:pStyle w:val="TableContents"/>
              <w:bidi w:val="0"/>
              <w:spacing w:lineRule="atLeast" w:line="250" w:before="0" w:after="283"/>
              <w:jc w:val="left"/>
              <w:rPr>
                <w:sz w:val="20"/>
              </w:rPr>
            </w:pPr>
            <w:r>
              <w:rPr>
                <w:sz w:val="20"/>
              </w:rPr>
              <w:t>36,641,911</w:t>
            </w:r>
          </w:p>
        </w:tc>
        <w:tc>
          <w:tcPr>
            <w:tcW w:w="845" w:type="dxa"/>
            <w:tcBorders/>
            <w:shd w:fill="FFFFFF" w:val="clear"/>
            <w:vAlign w:val="center"/>
          </w:tcPr>
          <w:p>
            <w:pPr>
              <w:pStyle w:val="TableContents"/>
              <w:bidi w:val="0"/>
              <w:spacing w:lineRule="atLeast" w:line="250" w:before="0" w:after="283"/>
              <w:jc w:val="left"/>
              <w:rPr>
                <w:sz w:val="20"/>
              </w:rPr>
            </w:pPr>
            <w:r>
              <w:rPr>
                <w:sz w:val="20"/>
              </w:rPr>
              <w:t>123,331</w:t>
            </w:r>
          </w:p>
        </w:tc>
        <w:tc>
          <w:tcPr>
            <w:tcW w:w="950" w:type="dxa"/>
            <w:tcBorders/>
            <w:shd w:fill="FFFFFF" w:val="clear"/>
            <w:vAlign w:val="center"/>
          </w:tcPr>
          <w:p>
            <w:pPr>
              <w:pStyle w:val="TableContents"/>
              <w:bidi w:val="0"/>
              <w:spacing w:lineRule="atLeast" w:line="250" w:before="0" w:after="283"/>
              <w:jc w:val="left"/>
              <w:rPr>
                <w:sz w:val="20"/>
              </w:rPr>
            </w:pPr>
            <w:r>
              <w:rPr>
                <w:sz w:val="20"/>
              </w:rPr>
              <w:t>59,873</w:t>
            </w:r>
          </w:p>
        </w:tc>
        <w:tc>
          <w:tcPr>
            <w:tcW w:w="1505" w:type="dxa"/>
            <w:tcBorders/>
            <w:shd w:fill="FFFFFF" w:val="clear"/>
            <w:vAlign w:val="center"/>
          </w:tcPr>
          <w:p>
            <w:pPr>
              <w:pStyle w:val="TableContents"/>
              <w:bidi w:val="0"/>
              <w:spacing w:before="0" w:after="283"/>
              <w:jc w:val="left"/>
              <w:rPr>
                <w:sz w:val="20"/>
              </w:rPr>
            </w:pPr>
            <w:r>
              <w:rPr>
                <w:sz w:val="20"/>
              </w:rPr>
              <w:t>1,424,006</w:t>
            </w:r>
          </w:p>
        </w:tc>
      </w:tr>
      <w:tr>
        <w:trPr/>
        <w:tc>
          <w:tcPr>
            <w:tcW w:w="1805" w:type="dxa"/>
            <w:tcBorders/>
            <w:shd w:fill="FFFFFF" w:val="clear"/>
            <w:vAlign w:val="center"/>
          </w:tcPr>
          <w:p>
            <w:pPr>
              <w:pStyle w:val="TableContents"/>
              <w:bidi w:val="0"/>
              <w:spacing w:lineRule="atLeast" w:line="250" w:before="0" w:after="283"/>
              <w:jc w:val="left"/>
              <w:rPr>
                <w:sz w:val="20"/>
              </w:rPr>
            </w:pPr>
            <w:r>
              <w:rPr>
                <w:sz w:val="20"/>
              </w:rPr>
              <w:t>Wendy M. Weinstein</w:t>
            </w:r>
          </w:p>
        </w:tc>
        <w:tc>
          <w:tcPr>
            <w:tcW w:w="950" w:type="dxa"/>
            <w:tcBorders/>
            <w:shd w:fill="FFFFFF" w:val="clear"/>
            <w:vAlign w:val="center"/>
          </w:tcPr>
          <w:p>
            <w:pPr>
              <w:pStyle w:val="TableContents"/>
              <w:bidi w:val="0"/>
              <w:spacing w:lineRule="atLeast" w:line="250" w:before="0" w:after="283"/>
              <w:jc w:val="left"/>
              <w:rPr>
                <w:sz w:val="20"/>
              </w:rPr>
            </w:pPr>
            <w:r>
              <w:rPr>
                <w:sz w:val="20"/>
              </w:rPr>
              <w:t>36,343,733</w:t>
            </w:r>
          </w:p>
        </w:tc>
        <w:tc>
          <w:tcPr>
            <w:tcW w:w="845" w:type="dxa"/>
            <w:tcBorders/>
            <w:shd w:fill="FFFFFF" w:val="clear"/>
            <w:vAlign w:val="center"/>
          </w:tcPr>
          <w:p>
            <w:pPr>
              <w:pStyle w:val="TableContents"/>
              <w:bidi w:val="0"/>
              <w:spacing w:lineRule="atLeast" w:line="250" w:before="0" w:after="283"/>
              <w:jc w:val="left"/>
              <w:rPr>
                <w:sz w:val="20"/>
              </w:rPr>
            </w:pPr>
            <w:r>
              <w:rPr>
                <w:sz w:val="20"/>
              </w:rPr>
              <w:t>328,030</w:t>
            </w:r>
          </w:p>
        </w:tc>
        <w:tc>
          <w:tcPr>
            <w:tcW w:w="950" w:type="dxa"/>
            <w:tcBorders/>
            <w:shd w:fill="FFFFFF" w:val="clear"/>
            <w:vAlign w:val="center"/>
          </w:tcPr>
          <w:p>
            <w:pPr>
              <w:pStyle w:val="TableContents"/>
              <w:bidi w:val="0"/>
              <w:spacing w:lineRule="atLeast" w:line="250" w:before="0" w:after="283"/>
              <w:jc w:val="left"/>
              <w:rPr>
                <w:sz w:val="20"/>
              </w:rPr>
            </w:pPr>
            <w:r>
              <w:rPr>
                <w:sz w:val="20"/>
              </w:rPr>
              <w:t>153,352</w:t>
            </w:r>
          </w:p>
        </w:tc>
        <w:tc>
          <w:tcPr>
            <w:tcW w:w="1505" w:type="dxa"/>
            <w:tcBorders/>
            <w:shd w:fill="FFFFFF" w:val="clear"/>
            <w:vAlign w:val="center"/>
          </w:tcPr>
          <w:p>
            <w:pPr>
              <w:pStyle w:val="TableContents"/>
              <w:bidi w:val="0"/>
              <w:spacing w:before="0" w:after="283"/>
              <w:jc w:val="left"/>
              <w:rPr>
                <w:sz w:val="20"/>
              </w:rPr>
            </w:pPr>
            <w:r>
              <w:rPr>
                <w:sz w:val="20"/>
              </w:rPr>
              <w:t>1,424,006</w:t>
            </w:r>
          </w:p>
        </w:tc>
      </w:tr>
    </w:tbl>
    <w:p>
      <w:pPr>
        <w:pStyle w:val="TextBody"/>
        <w:bidi w:val="0"/>
        <w:spacing w:lineRule="atLeast" w:line="300"/>
        <w:jc w:val="left"/>
        <w:rPr>
          <w:caps w:val="false"/>
          <w:smallCaps w:val="false"/>
        </w:rPr>
      </w:pPr>
      <w:r>
        <w:rPr>
          <w:caps w:val="false"/>
          <w:smallCaps w:val="false"/>
        </w:rPr>
        <w:t> </w:t>
      </w:r>
    </w:p>
    <w:p>
      <w:pPr>
        <w:pStyle w:val="TextBody"/>
        <w:bidi w:val="0"/>
        <w:spacing w:lineRule="atLeast" w:line="3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stockholders approved the ratification of the selection of BDO USA, P.C. as the Company’s independent registered public accounting firm for the fiscal year ending December 25, 2026.</w:t>
      </w:r>
    </w:p>
    <w:p>
      <w:pPr>
        <w:pStyle w:val="TextBody"/>
        <w:bidi w:val="0"/>
        <w:spacing w:lineRule="atLeast" w:line="300"/>
        <w:jc w:val="left"/>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965"/>
        <w:gridCol w:w="695"/>
        <w:gridCol w:w="995"/>
        <w:gridCol w:w="1505"/>
      </w:tblGrid>
      <w:tr>
        <w:trPr/>
        <w:tc>
          <w:tcPr>
            <w:tcW w:w="965" w:type="dxa"/>
            <w:tcBorders/>
            <w:vAlign w:val="center"/>
          </w:tcPr>
          <w:p>
            <w:pPr>
              <w:pStyle w:val="TableContents"/>
              <w:bidi w:val="0"/>
              <w:spacing w:lineRule="atLeast" w:line="250" w:before="0" w:after="283"/>
              <w:jc w:val="left"/>
              <w:rPr>
                <w:sz w:val="20"/>
                <w:u w:val="single"/>
              </w:rPr>
            </w:pPr>
            <w:r>
              <w:rPr>
                <w:sz w:val="20"/>
                <w:u w:val="single"/>
              </w:rPr>
              <w:t>For</w:t>
            </w:r>
          </w:p>
        </w:tc>
        <w:tc>
          <w:tcPr>
            <w:tcW w:w="695" w:type="dxa"/>
            <w:tcBorders/>
            <w:vAlign w:val="center"/>
          </w:tcPr>
          <w:p>
            <w:pPr>
              <w:pStyle w:val="TableContents"/>
              <w:bidi w:val="0"/>
              <w:spacing w:lineRule="atLeast" w:line="250" w:before="0" w:after="283"/>
              <w:jc w:val="left"/>
              <w:rPr>
                <w:sz w:val="20"/>
                <w:u w:val="single"/>
              </w:rPr>
            </w:pPr>
            <w:r>
              <w:rPr>
                <w:sz w:val="20"/>
                <w:u w:val="single"/>
              </w:rPr>
              <w:t>Against</w:t>
            </w:r>
          </w:p>
        </w:tc>
        <w:tc>
          <w:tcPr>
            <w:tcW w:w="995" w:type="dxa"/>
            <w:tcBorders/>
            <w:vAlign w:val="center"/>
          </w:tcPr>
          <w:p>
            <w:pPr>
              <w:pStyle w:val="TableContents"/>
              <w:bidi w:val="0"/>
              <w:spacing w:lineRule="atLeast" w:line="250" w:before="0" w:after="283"/>
              <w:jc w:val="left"/>
              <w:rPr>
                <w:sz w:val="20"/>
                <w:u w:val="single"/>
              </w:rPr>
            </w:pPr>
            <w:r>
              <w:rPr>
                <w:sz w:val="20"/>
                <w:u w:val="single"/>
              </w:rPr>
              <w:t>Abstentions</w:t>
            </w:r>
          </w:p>
        </w:tc>
        <w:tc>
          <w:tcPr>
            <w:tcW w:w="1505" w:type="dxa"/>
            <w:tcBorders/>
            <w:vAlign w:val="center"/>
          </w:tcPr>
          <w:p>
            <w:pPr>
              <w:pStyle w:val="TableContents"/>
              <w:bidi w:val="0"/>
              <w:spacing w:lineRule="atLeast" w:line="250" w:before="0" w:after="283"/>
              <w:jc w:val="left"/>
              <w:rPr>
                <w:sz w:val="20"/>
                <w:u w:val="single"/>
              </w:rPr>
            </w:pPr>
            <w:r>
              <w:rPr>
                <w:sz w:val="20"/>
                <w:u w:val="single"/>
              </w:rPr>
              <w:t>Broker Non-Votes</w:t>
            </w:r>
          </w:p>
        </w:tc>
      </w:tr>
      <w:tr>
        <w:trPr/>
        <w:tc>
          <w:tcPr>
            <w:tcW w:w="965" w:type="dxa"/>
            <w:tcBorders/>
            <w:vAlign w:val="center"/>
          </w:tcPr>
          <w:p>
            <w:pPr>
              <w:pStyle w:val="TableContents"/>
              <w:bidi w:val="0"/>
              <w:spacing w:lineRule="atLeast" w:line="250" w:before="0" w:after="283"/>
              <w:jc w:val="left"/>
              <w:rPr>
                <w:sz w:val="20"/>
              </w:rPr>
            </w:pPr>
            <w:r>
              <w:rPr>
                <w:sz w:val="20"/>
              </w:rPr>
              <w:t>37,557,752</w:t>
            </w:r>
          </w:p>
        </w:tc>
        <w:tc>
          <w:tcPr>
            <w:tcW w:w="695" w:type="dxa"/>
            <w:tcBorders/>
            <w:vAlign w:val="center"/>
          </w:tcPr>
          <w:p>
            <w:pPr>
              <w:pStyle w:val="TableContents"/>
              <w:bidi w:val="0"/>
              <w:spacing w:lineRule="atLeast" w:line="250" w:before="0" w:after="283"/>
              <w:jc w:val="left"/>
              <w:rPr>
                <w:sz w:val="20"/>
              </w:rPr>
            </w:pPr>
            <w:r>
              <w:rPr>
                <w:sz w:val="20"/>
              </w:rPr>
              <w:t>629,523</w:t>
            </w:r>
          </w:p>
        </w:tc>
        <w:tc>
          <w:tcPr>
            <w:tcW w:w="995" w:type="dxa"/>
            <w:tcBorders/>
            <w:vAlign w:val="center"/>
          </w:tcPr>
          <w:p>
            <w:pPr>
              <w:pStyle w:val="TableContents"/>
              <w:bidi w:val="0"/>
              <w:spacing w:lineRule="atLeast" w:line="250" w:before="0" w:after="283"/>
              <w:jc w:val="left"/>
              <w:rPr>
                <w:sz w:val="20"/>
              </w:rPr>
            </w:pPr>
            <w:r>
              <w:rPr>
                <w:sz w:val="20"/>
              </w:rPr>
              <w:t>61,846</w:t>
            </w:r>
          </w:p>
        </w:tc>
        <w:tc>
          <w:tcPr>
            <w:tcW w:w="1505" w:type="dxa"/>
            <w:tcBorders/>
            <w:vAlign w:val="center"/>
          </w:tcPr>
          <w:p>
            <w:pPr>
              <w:pStyle w:val="TableContents"/>
              <w:bidi w:val="0"/>
              <w:spacing w:lineRule="atLeast" w:line="250" w:before="0" w:after="283"/>
              <w:jc w:val="left"/>
              <w:rPr>
                <w:sz w:val="20"/>
              </w:rPr>
            </w:pPr>
            <w:r>
              <w:rPr>
                <w:sz w:val="20"/>
              </w:rPr>
              <w:t>NA</w:t>
            </w:r>
          </w:p>
        </w:tc>
      </w:tr>
    </w:tbl>
    <w:p>
      <w:pPr>
        <w:pStyle w:val="TextBody"/>
        <w:bidi w:val="0"/>
        <w:spacing w:lineRule="atLeast" w:line="300"/>
        <w:jc w:val="left"/>
        <w:rPr>
          <w:caps w:val="false"/>
          <w:smallCaps w:val="false"/>
        </w:rPr>
      </w:pPr>
      <w:r>
        <w:rPr>
          <w:caps w:val="false"/>
          <w:smallCaps w:val="false"/>
        </w:rPr>
        <w:t> </w:t>
      </w:r>
    </w:p>
    <w:p>
      <w:pPr>
        <w:pStyle w:val="TextBody"/>
        <w:bidi w:val="0"/>
        <w:spacing w:lineRule="atLeast" w:line="3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stockholders approved, on a non-binding, advisory basis, the compensation of the Company’s named executive officers, as described in the Company’s definitive proxy statement filed on Schedule 14A with the Securities and Exchange Commission on March 25, 2026.</w:t>
      </w:r>
    </w:p>
    <w:p>
      <w:pPr>
        <w:pStyle w:val="TextBody"/>
        <w:bidi w:val="0"/>
        <w:spacing w:lineRule="atLeast" w:line="30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965"/>
        <w:gridCol w:w="950"/>
        <w:gridCol w:w="995"/>
        <w:gridCol w:w="1505"/>
      </w:tblGrid>
      <w:tr>
        <w:trPr/>
        <w:tc>
          <w:tcPr>
            <w:tcW w:w="965" w:type="dxa"/>
            <w:tcBorders/>
            <w:vAlign w:val="center"/>
          </w:tcPr>
          <w:p>
            <w:pPr>
              <w:pStyle w:val="TableContents"/>
              <w:bidi w:val="0"/>
              <w:spacing w:lineRule="atLeast" w:line="250" w:before="0" w:after="283"/>
              <w:jc w:val="left"/>
              <w:rPr>
                <w:sz w:val="20"/>
                <w:u w:val="single"/>
              </w:rPr>
            </w:pPr>
            <w:r>
              <w:rPr>
                <w:sz w:val="20"/>
                <w:u w:val="single"/>
              </w:rPr>
              <w:t>For</w:t>
            </w:r>
          </w:p>
        </w:tc>
        <w:tc>
          <w:tcPr>
            <w:tcW w:w="950" w:type="dxa"/>
            <w:tcBorders/>
            <w:vAlign w:val="center"/>
          </w:tcPr>
          <w:p>
            <w:pPr>
              <w:pStyle w:val="TableContents"/>
              <w:bidi w:val="0"/>
              <w:spacing w:lineRule="atLeast" w:line="250" w:before="0" w:after="283"/>
              <w:jc w:val="left"/>
              <w:rPr>
                <w:sz w:val="20"/>
                <w:u w:val="single"/>
              </w:rPr>
            </w:pPr>
            <w:r>
              <w:rPr>
                <w:sz w:val="20"/>
                <w:u w:val="single"/>
              </w:rPr>
              <w:t>Against</w:t>
            </w:r>
          </w:p>
        </w:tc>
        <w:tc>
          <w:tcPr>
            <w:tcW w:w="995" w:type="dxa"/>
            <w:tcBorders/>
            <w:vAlign w:val="center"/>
          </w:tcPr>
          <w:p>
            <w:pPr>
              <w:pStyle w:val="TableContents"/>
              <w:bidi w:val="0"/>
              <w:spacing w:lineRule="atLeast" w:line="250" w:before="0" w:after="283"/>
              <w:jc w:val="left"/>
              <w:rPr>
                <w:sz w:val="20"/>
                <w:u w:val="single"/>
              </w:rPr>
            </w:pPr>
            <w:r>
              <w:rPr>
                <w:sz w:val="20"/>
                <w:u w:val="single"/>
              </w:rPr>
              <w:t>Abstentions</w:t>
            </w:r>
          </w:p>
        </w:tc>
        <w:tc>
          <w:tcPr>
            <w:tcW w:w="1505" w:type="dxa"/>
            <w:tcBorders/>
            <w:vAlign w:val="center"/>
          </w:tcPr>
          <w:p>
            <w:pPr>
              <w:pStyle w:val="TableContents"/>
              <w:bidi w:val="0"/>
              <w:spacing w:lineRule="atLeast" w:line="250" w:before="0" w:after="283"/>
              <w:jc w:val="left"/>
              <w:rPr>
                <w:sz w:val="20"/>
                <w:u w:val="single"/>
              </w:rPr>
            </w:pPr>
            <w:r>
              <w:rPr>
                <w:sz w:val="20"/>
                <w:u w:val="single"/>
              </w:rPr>
              <w:t>Broker Non-Votes</w:t>
            </w:r>
          </w:p>
        </w:tc>
      </w:tr>
      <w:tr>
        <w:trPr/>
        <w:tc>
          <w:tcPr>
            <w:tcW w:w="965" w:type="dxa"/>
            <w:tcBorders/>
            <w:vAlign w:val="center"/>
          </w:tcPr>
          <w:p>
            <w:pPr>
              <w:pStyle w:val="TableContents"/>
              <w:bidi w:val="0"/>
              <w:spacing w:lineRule="atLeast" w:line="250" w:before="0" w:after="283"/>
              <w:jc w:val="left"/>
              <w:rPr>
                <w:sz w:val="20"/>
              </w:rPr>
            </w:pPr>
            <w:r>
              <w:rPr>
                <w:sz w:val="20"/>
              </w:rPr>
              <w:t>18,756,222</w:t>
            </w:r>
          </w:p>
        </w:tc>
        <w:tc>
          <w:tcPr>
            <w:tcW w:w="950" w:type="dxa"/>
            <w:tcBorders/>
            <w:vAlign w:val="center"/>
          </w:tcPr>
          <w:p>
            <w:pPr>
              <w:pStyle w:val="TableContents"/>
              <w:bidi w:val="0"/>
              <w:spacing w:lineRule="atLeast" w:line="250" w:before="0" w:after="283"/>
              <w:jc w:val="left"/>
              <w:rPr>
                <w:sz w:val="20"/>
              </w:rPr>
            </w:pPr>
            <w:r>
              <w:rPr>
                <w:sz w:val="20"/>
              </w:rPr>
              <w:t>18,005,962</w:t>
            </w:r>
          </w:p>
        </w:tc>
        <w:tc>
          <w:tcPr>
            <w:tcW w:w="995" w:type="dxa"/>
            <w:tcBorders/>
            <w:vAlign w:val="center"/>
          </w:tcPr>
          <w:p>
            <w:pPr>
              <w:pStyle w:val="TableContents"/>
              <w:bidi w:val="0"/>
              <w:spacing w:lineRule="atLeast" w:line="250" w:before="0" w:after="283"/>
              <w:jc w:val="left"/>
              <w:rPr>
                <w:sz w:val="20"/>
              </w:rPr>
            </w:pPr>
            <w:r>
              <w:rPr>
                <w:sz w:val="20"/>
              </w:rPr>
              <w:t>62,931</w:t>
            </w:r>
          </w:p>
        </w:tc>
        <w:tc>
          <w:tcPr>
            <w:tcW w:w="1505" w:type="dxa"/>
            <w:tcBorders/>
            <w:vAlign w:val="center"/>
          </w:tcPr>
          <w:p>
            <w:pPr>
              <w:pStyle w:val="TableContents"/>
              <w:bidi w:val="0"/>
              <w:spacing w:lineRule="atLeast" w:line="250" w:before="0" w:after="283"/>
              <w:jc w:val="left"/>
              <w:rPr>
                <w:sz w:val="20"/>
              </w:rPr>
            </w:pPr>
            <w:r>
              <w:rPr>
                <w:sz w:val="20"/>
              </w:rPr>
              <w:t>1,424,006</w:t>
            </w:r>
          </w:p>
        </w:tc>
      </w:tr>
    </w:tbl>
    <w:p>
      <w:pPr>
        <w:pStyle w:val="TextBody"/>
        <w:bidi w:val="0"/>
        <w:spacing w:lineRule="atLeast" w:line="300"/>
        <w:jc w:val="left"/>
        <w:rPr>
          <w:caps w:val="false"/>
          <w:smallCaps w:val="false"/>
        </w:rPr>
      </w:pPr>
      <w:r>
        <w:rPr>
          <w:caps w:val="false"/>
          <w:smallCaps w:val="false"/>
        </w:rPr>
        <w:t> </w:t>
      </w:r>
    </w:p>
    <w:tbl>
      <w:tblPr>
        <w:tblW w:w="4563" w:type="dxa"/>
        <w:jc w:val="left"/>
        <w:tblInd w:w="0" w:type="dxa"/>
        <w:shd w:fill="FFFFFF" w:val="clear"/>
        <w:tblLayout w:type="fixed"/>
        <w:tblCellMar>
          <w:top w:w="0" w:type="dxa"/>
          <w:left w:w="0" w:type="dxa"/>
          <w:bottom w:w="0" w:type="dxa"/>
          <w:right w:w="0" w:type="dxa"/>
        </w:tblCellMar>
      </w:tblPr>
      <w:tblGrid>
        <w:gridCol w:w="38"/>
        <w:gridCol w:w="965"/>
        <w:gridCol w:w="35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65" w:type="dxa"/>
            <w:tcBorders/>
            <w:shd w:fill="FFFFFF" w:val="clear"/>
            <w:vAlign w:val="center"/>
          </w:tcPr>
          <w:p>
            <w:pPr>
              <w:pStyle w:val="TableContents"/>
              <w:bidi w:val="0"/>
              <w:spacing w:before="0" w:after="283"/>
              <w:jc w:val="left"/>
              <w:rPr>
                <w:b/>
              </w:rPr>
            </w:pPr>
            <w:r>
              <w:rPr>
                <w:b/>
              </w:rPr>
              <w:t>Item 9.01</w:t>
            </w:r>
          </w:p>
        </w:tc>
        <w:tc>
          <w:tcPr>
            <w:tcW w:w="3560" w:type="dxa"/>
            <w:tcBorders/>
            <w:shd w:fill="FFFFFF" w:val="clear"/>
            <w:vAlign w:val="center"/>
          </w:tcPr>
          <w:p>
            <w:pPr>
              <w:pStyle w:val="TableContents"/>
              <w:bidi w:val="0"/>
              <w:spacing w:before="0" w:after="283"/>
              <w:jc w:val="left"/>
              <w:rPr>
                <w:b/>
              </w:rPr>
            </w:pPr>
            <w:r>
              <w:rPr>
                <w:b/>
              </w:rPr>
              <w:t>Financial Statements and Exhibits.</w:t>
            </w:r>
          </w:p>
        </w:tc>
      </w:tr>
    </w:tbl>
    <w:p>
      <w:pPr>
        <w:pStyle w:val="TextBody"/>
        <w:bidi w:val="0"/>
        <w:jc w:val="left"/>
        <w:rPr>
          <w:caps w:val="false"/>
          <w:smallCaps w:val="false"/>
        </w:rPr>
      </w:pPr>
      <w:r>
        <w:rPr>
          <w:caps w:val="false"/>
          <w:smallCaps w:val="false"/>
        </w:rPr>
        <w:t> </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tbl>
      <w:tblPr>
        <w:tblW w:w="9745" w:type="dxa"/>
        <w:jc w:val="left"/>
        <w:tblInd w:w="0" w:type="dxa"/>
        <w:tblLayout w:type="fixed"/>
        <w:tblCellMar>
          <w:top w:w="0" w:type="dxa"/>
          <w:left w:w="0" w:type="dxa"/>
          <w:bottom w:w="0" w:type="dxa"/>
          <w:right w:w="0" w:type="dxa"/>
        </w:tblCellMar>
      </w:tblPr>
      <w:tblGrid>
        <w:gridCol w:w="710"/>
        <w:gridCol w:w="60"/>
        <w:gridCol w:w="8975"/>
      </w:tblGrid>
      <w:tr>
        <w:trPr/>
        <w:tc>
          <w:tcPr>
            <w:tcW w:w="710" w:type="dxa"/>
            <w:tcBorders/>
            <w:vAlign w:val="center"/>
          </w:tcPr>
          <w:p>
            <w:pPr>
              <w:pStyle w:val="TableContents"/>
              <w:bidi w:val="0"/>
              <w:spacing w:lineRule="atLeast" w:line="250" w:before="0" w:after="283"/>
              <w:jc w:val="left"/>
              <w:rPr>
                <w:b/>
                <w:sz w:val="20"/>
              </w:rPr>
            </w:pPr>
            <w:r>
              <w:rPr>
                <w:b/>
                <w:sz w:val="20"/>
              </w:rPr>
              <w:t>Exhibit</w:t>
              <w:br/>
              <w:t>No.</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lineRule="atLeast" w:line="250" w:before="0" w:after="283"/>
              <w:jc w:val="left"/>
              <w:rPr>
                <w:b/>
                <w:sz w:val="20"/>
              </w:rPr>
            </w:pPr>
            <w:r>
              <w:rPr>
                <w:b/>
                <w:sz w:val="20"/>
              </w:rPr>
              <w:t>Description</w:t>
            </w:r>
          </w:p>
        </w:tc>
      </w:tr>
      <w:tr>
        <w:trPr/>
        <w:tc>
          <w:tcPr>
            <w:tcW w:w="710" w:type="dxa"/>
            <w:tcBorders>
              <w:top w:val="single" w:sz="8" w:space="0" w:color="000000"/>
            </w:tcBorders>
            <w:tcMar>
              <w:top w:w="28" w:type="dxa"/>
            </w:tcMar>
            <w:vAlign w:val="center"/>
          </w:tcPr>
          <w:p>
            <w:pPr>
              <w:pStyle w:val="TableContents"/>
              <w:bidi w:val="0"/>
              <w:spacing w:before="0" w:after="283"/>
              <w:ind w:left="0" w:right="0" w:firstLine="360"/>
              <w:jc w:val="left"/>
              <w:rPr>
                <w:sz w:val="20"/>
              </w:rPr>
            </w:pPr>
            <w:r>
              <w:rPr>
                <w:sz w:val="20"/>
              </w:rPr>
              <w:t>104</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975" w:type="dxa"/>
            <w:tcBorders>
              <w:top w:val="single" w:sz="8" w:space="0" w:color="000000"/>
            </w:tcBorders>
            <w:tcMar>
              <w:top w:w="28" w:type="dxa"/>
            </w:tcMar>
            <w:vAlign w:val="center"/>
          </w:tcPr>
          <w:p>
            <w:pPr>
              <w:pStyle w:val="TableContents"/>
              <w:bidi w:val="0"/>
              <w:spacing w:before="0" w:after="283"/>
              <w:jc w:val="left"/>
              <w:rPr>
                <w:sz w:val="20"/>
              </w:rPr>
            </w:pPr>
            <w:r>
              <w:rPr>
                <w:sz w:val="20"/>
              </w:rPr>
              <w:t>Cover Page Interactive Data File - the cover page XBRL tags are embedded within the Inline XBRL document.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590"/>
        <w:gridCol w:w="8645"/>
      </w:tblGrid>
      <w:tr>
        <w:trPr/>
        <w:tc>
          <w:tcPr>
            <w:tcW w:w="75"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20"/>
              </w:rPr>
            </w:pPr>
            <w:r>
              <w:rPr>
                <w:sz w:val="20"/>
              </w:rPr>
              <w:t>THE CHEFS’ WAREHOUSE,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86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Alexandros Aldous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8645" w:type="dxa"/>
            <w:tcBorders/>
            <w:vAlign w:val="center"/>
          </w:tcPr>
          <w:p>
            <w:pPr>
              <w:pStyle w:val="TableContents"/>
              <w:bidi w:val="0"/>
              <w:spacing w:before="0" w:after="283"/>
              <w:jc w:val="left"/>
              <w:rPr>
                <w:sz w:val="20"/>
              </w:rPr>
            </w:pPr>
            <w:r>
              <w:rPr>
                <w:sz w:val="20"/>
              </w:rPr>
              <w:t>Alexandros Aldous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8645" w:type="dxa"/>
            <w:tcBorders/>
            <w:vAlign w:val="center"/>
          </w:tcPr>
          <w:p>
            <w:pPr>
              <w:pStyle w:val="TableContents"/>
              <w:bidi w:val="0"/>
              <w:spacing w:before="0" w:after="283"/>
              <w:jc w:val="left"/>
              <w:rPr>
                <w:sz w:val="20"/>
              </w:rPr>
            </w:pPr>
            <w:r>
              <w:rPr>
                <w:sz w:val="20"/>
              </w:rPr>
              <w:t>General Counsel, Corporate Secretary, Chief Government Relations Officer &amp; Chief Administrative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4198</Characters>
  <CharactersWithSpaces>4888</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