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Pappas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EAST RIDGE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RIDGEFIELD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Chefs' Warehouse,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9"/>
        <w:gridCol w:w="924"/>
        <w:gridCol w:w="794"/>
        <w:gridCol w:w="613"/>
        <w:gridCol w:w="339"/>
        <w:gridCol w:w="906"/>
        <w:gridCol w:w="415"/>
        <w:gridCol w:w="1101"/>
        <w:gridCol w:w="1246"/>
        <w:gridCol w:w="961"/>
        <w:gridCol w:w="9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110.469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2,155,480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109.7527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2,105,480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24,793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sale price of the shares sold ranging from a low of $110 to a high of $110.89 per share. The Reporting Person undertakes, upon request by the staff of the Securities and Exchange Commission,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sale price of the shares sold ranging from a low of $109.70 to a high of $110 per share. The Reporting Person undertakes, upon request by the staff of the Securities and Exchange Commission, the Issuer or a security holder of the Issuer, to provide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Alexandros Aldous, Attorney-in-Fact for Christopher Pappas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5954" TargetMode="External"/><Relationship Id="rId5" Type="http://schemas.openxmlformats.org/officeDocument/2006/relationships/hyperlink" Target="http://www.sec.gov/cgi-bin/browse-edgar?action=getcompany&amp;CIK=0001517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3776</Characters>
  <CharactersWithSpaces>4400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