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10"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2025</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105410</wp:posOffset>
            </wp:positionV>
            <wp:extent cx="164592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CHEFS’ WAREHOUSE,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4" w:lineRule="exact"/>
        <w:rPr>
          <w:sz w:val="24"/>
          <w:szCs w:val="24"/>
          <w:color w:val="auto"/>
        </w:rPr>
      </w:pPr>
    </w:p>
    <w:p>
      <w:pPr>
        <w:ind w:left="240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20-3031526</w:t>
      </w:r>
    </w:p>
    <w:p>
      <w:pPr>
        <w:spacing w:after="0" w:line="15" w:lineRule="exact"/>
        <w:rPr>
          <w:sz w:val="24"/>
          <w:szCs w:val="24"/>
          <w:color w:val="auto"/>
        </w:rPr>
      </w:pPr>
    </w:p>
    <w:p>
      <w:pPr>
        <w:ind w:left="1640"/>
        <w:spacing w:after="0"/>
        <w:tabs>
          <w:tab w:leader="none" w:pos="778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7"/>
          <w:szCs w:val="17"/>
          <w:b w:val="1"/>
          <w:bCs w:val="1"/>
          <w:color w:val="auto"/>
        </w:rPr>
        <w:t>(I.R.S. Employer</w:t>
      </w:r>
    </w:p>
    <w:p>
      <w:pPr>
        <w:ind w:left="1580"/>
        <w:spacing w:after="0"/>
        <w:tabs>
          <w:tab w:leader="none" w:pos="774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7"/>
          <w:szCs w:val="17"/>
          <w:b w:val="1"/>
          <w:bCs w:val="1"/>
          <w:color w:val="auto"/>
        </w:rPr>
        <w:t>Identification No.)</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East Ridge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Ridgefield, Connecticut 06877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894-1345</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65"/>
        </w:trPr>
        <w:tc>
          <w:tcPr>
            <w:tcW w:w="1680" w:type="dxa"/>
            <w:vAlign w:val="bottom"/>
          </w:tcPr>
          <w:p>
            <w:pPr>
              <w:spacing w:after="0"/>
              <w:rPr>
                <w:sz w:val="24"/>
                <w:szCs w:val="24"/>
                <w:color w:val="auto"/>
              </w:rPr>
            </w:pPr>
          </w:p>
        </w:tc>
        <w:tc>
          <w:tcPr>
            <w:tcW w:w="28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5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360" w:type="dxa"/>
            <w:vAlign w:val="bottom"/>
          </w:tcPr>
          <w:p>
            <w:pPr>
              <w:spacing w:after="0"/>
              <w:rPr>
                <w:sz w:val="21"/>
                <w:szCs w:val="21"/>
                <w:color w:val="auto"/>
              </w:rPr>
            </w:pPr>
          </w:p>
        </w:tc>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CHEF</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ind w:left="20"/>
        <w:spacing w:after="0" w:line="207" w:lineRule="exact"/>
        <w:tabs>
          <w:tab w:leader="none" w:pos="1900" w:val="left"/>
          <w:tab w:leader="none" w:pos="3660" w:val="left"/>
          <w:tab w:leader="none" w:pos="5760" w:val="left"/>
          <w:tab w:leader="none" w:pos="834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18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common stock, par value $.01 per share, outstanding at October 24, 2025: 40,685,549</w:t>
      </w:r>
    </w:p>
    <w:p>
      <w:pPr>
        <w:sectPr>
          <w:pgSz w:w="11900" w:h="16838" w:orient="portrait"/>
          <w:cols w:equalWidth="0" w:num="1">
            <w:col w:w="11240"/>
          </w:cols>
          <w:pgMar w:left="320" w:top="786" w:right="339" w:bottom="1440" w:gutter="0" w:footer="0" w:header="0"/>
        </w:sect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gridSpan w:val="9"/>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THE CHEFS’ WAREHOUSE, INC.</w:t>
            </w:r>
          </w:p>
        </w:tc>
        <w:tc>
          <w:tcPr>
            <w:tcW w:w="5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5"/>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20" w:type="dxa"/>
            <w:vAlign w:val="bottom"/>
            <w:tcBorders>
              <w:top w:val="single" w:sz="8" w:color="auto"/>
            </w:tcBorders>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Condensed Consolidated Financial Statements (unaudited):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320" w:type="dxa"/>
            <w:vAlign w:val="bottom"/>
            <w:tcBorders>
              <w:top w:val="single" w:sz="8" w:color="0000FF"/>
            </w:tcBorders>
            <w:gridSpan w:val="3"/>
          </w:tcPr>
          <w:p>
            <w:pPr>
              <w:spacing w:after="0"/>
              <w:rPr>
                <w:sz w:val="24"/>
                <w:szCs w:val="24"/>
                <w:color w:val="auto"/>
              </w:rPr>
            </w:pPr>
          </w:p>
        </w:tc>
        <w:tc>
          <w:tcPr>
            <w:tcW w:w="236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90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520" w:type="dxa"/>
            <w:vAlign w:val="bottom"/>
            <w:tcBorders>
              <w:top w:val="single" w:sz="8" w:color="0000FF"/>
            </w:tcBorders>
            <w:gridSpan w:val="4"/>
          </w:tcPr>
          <w:p>
            <w:pPr>
              <w:spacing w:after="0"/>
              <w:rPr>
                <w:sz w:val="24"/>
                <w:szCs w:val="24"/>
                <w:color w:val="auto"/>
              </w:rPr>
            </w:pPr>
          </w:p>
        </w:tc>
        <w:tc>
          <w:tcPr>
            <w:tcW w:w="138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62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1A.</w:t>
            </w:r>
          </w:p>
        </w:tc>
        <w:tc>
          <w:tcPr>
            <w:tcW w:w="66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5640" w:type="dxa"/>
            <w:vAlign w:val="bottom"/>
            <w:tcBorders>
              <w:top w:val="single" w:sz="8" w:color="0000FF"/>
            </w:tcBorders>
            <w:gridSpan w:val="13"/>
          </w:tcPr>
          <w:p>
            <w:pPr>
              <w:spacing w:after="0"/>
              <w:rPr>
                <w:sz w:val="13"/>
                <w:szCs w:val="13"/>
                <w:color w:val="auto"/>
              </w:rPr>
            </w:pPr>
          </w:p>
        </w:tc>
        <w:tc>
          <w:tcPr>
            <w:tcW w:w="26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484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20" w:type="dxa"/>
            <w:vAlign w:val="bottom"/>
            <w:gridSpan w:val="16"/>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120" w:type="dxa"/>
            <w:vAlign w:val="bottom"/>
            <w:gridSpan w:val="13"/>
          </w:tcPr>
          <w:p>
            <w:pPr>
              <w:jc w:val="center"/>
              <w:ind w:left="4470"/>
              <w:spacing w:after="0"/>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report regarding the business of The Chefs’ Warehouse, Inc. (the “Company”) that are not historical facts are “forward-looking statements” that involve risks and uncertainties and are based on current expectations and management estimates; actual results may differ materially. Words such as “anticipates”, “expects”, “predicts”, “contemplates”, “projects”, “forecasts”, “intends”, “plans”, “believes”, “seeks”, “estimates”, “could”, “should”, “will”, “may”, “would” and variations of these words and similar expressions are intended to identify forward-looking statements. These statements are not guarantees of future performance and are subject to risks, uncertainties and other factors, some of which are beyond our control, are difficult to predict and/or could cause actual results to differ materially from those expressed or forecasted in the forward-looking statements. The risks and uncertainties which could impact these statements include, but are not limited to the following: our success depends to a significant extent upon general economic conditions, including disposable income levels and changes in consumer discretionary spending; the relatively low margins of our business, which are sensitive to inflationary and deflationary pressures and intense competition; changes in our credit profile and any effect they may have on our relationships with suppliers; the effects of rising costs for and/or decreases in supply of commodities, ingredients, packaging, other raw materials, distribution and labor; price reductions by our manufacturers of products that we sell which could cause the value of our inventory to decline or our customers to demand lower sales prices; fuel cost volatility and its impact on distribution, packaging and energy costs; our continued ability to promote our brand successfully, to anticipate and respond to new customer demands, and to develop new products and markets to compete effectively; our ability and the ability of our supply chain partners to continue to operate distribution centers and other work locations without material disruption, and to procure ingredients, packaging and other raw materials when needed despite disruptions in the supply chain or labor shortages; risks associated with the expansion of our business; our possible inability to identify new acquisitions or to integrate recent or future acquisitions, or our failure to realize anticipated revenue enhancements, cost savings or other synergies from recent or future acquisitions; other factors that affect the food industry generally, including: recalls if products become adulterated or misbranded, liability if product consumption causes injury, ingredient disclosure and labeling laws and regulations and the possibility that customers could lose confidence in the safety and quality of certain food products; new information or attitudes regarding diet and health or adverse opinions about the health effects of the products we distribute; dependence on independent certifications for products; changes in disposable income levels and consumer purchasing habits; competitors’ pricing practices and promotional spending levels; fluctuations in the level of our customers’ inventories and credit and other related business risks; and the risks associated with third-party suppliers, including the risk that any failure by one or more of our third-party suppliers to comply with food safety or other laws and regulations may disrupt our supply of raw materials or certain products or injure our reputation; our ability to recruit and retain senior management and a highly skilled and diverse workforce; unanticipated expenses, including, without limitation, litigation or legal settlement expenses, adverse judgments, or impairment charges; the cost and adequacy of our insurance policies; the impact and effects of public health crises, pandemics and epidemics and the adverse impact thereof on our business, financial condition, and results of operations; economic and other developments, or events, including adverse weather conditions, in the culinary markets in which we operate; information technology system failures, cybersecurity incidents, or other disruptions to our use of technology and networks; our ability to realize the benefits we anticipate from investments in information technology; our ability to protect our intellectual property; significant governmental regulation and any potential failure to comply with such regulations; changing rules, public disclosure regulations and stakeholder expectations on ESG-related matters; federal, state, provincial and local tax rules in the United States and the foreign countries in which we operate, including tax reform and legislation; climate change or the legal, regulatory or market measures being implemented to address climate change; the concentration of ownership among our existing executive officers, directors and their affiliates which may prevent new investors from influencing significant corporate decisions; risks relating to our substantial indebtedness; our ability to raise additional capital and/or obtain debt or other financing, on commercially reasonable terms or at all; our ability to meet future cash requirements, including the ability to access financial markets effectively and maintain sufficient liquidity; the effects of currency movements in the jurisdictions in which we operate as compared to the U.S. dollar; the effects of international trade disputes, tariffs, quotas and other import or export</w:t>
      </w:r>
    </w:p>
    <w:p>
      <w:pPr>
        <w:spacing w:after="0" w:line="2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restrictions on our international procurement, sales and operations; other factors discussed elsewhere in this report and in our other public filings with the Securities and Exchange Commission (“SEC”).</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Any forward-looking statements are made pursuant to the Private Securities Litigation Reform Act of 1995, Section 27A of the Securities Act of 1933, as amended, and Section 21E of the Securities Exchange Act of 1934, as amended, and, as such, speak only as of the date made. A more detailed description of these and other risk factors is contained in the Company’s most recent Annual Report on Form 10-K filed with the SEC on February 25, 2025 and other reports, including this Quarterly Report on Form 10-Q, filed by the Company with the SEC since that date. The Company is not undertaking to update any information in the foregoing reports until the filing or effective dates of its future reports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0" w:type="dxa"/>
            <w:vAlign w:val="bottom"/>
          </w:tcPr>
          <w:p>
            <w:pPr>
              <w:spacing w:after="0"/>
              <w:rPr>
                <w:sz w:val="1"/>
                <w:szCs w:val="1"/>
                <w:color w:val="auto"/>
              </w:rPr>
            </w:pPr>
          </w:p>
        </w:tc>
      </w:tr>
      <w:tr>
        <w:trPr>
          <w:trHeight w:val="229"/>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($26,417 in 2025, $22,341 in 2024)</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366,311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316,014</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868,043</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275,781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191,423</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356,298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160,383</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1,858,691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266,775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68,538</w:t>
            </w:r>
          </w:p>
        </w:tc>
        <w:tc>
          <w:tcPr>
            <w:tcW w:w="0" w:type="dxa"/>
            <w:vAlign w:val="bottom"/>
          </w:tcPr>
          <w:p>
            <w:pPr>
              <w:spacing w:after="0"/>
              <w:rPr>
                <w:sz w:val="1"/>
                <w:szCs w:val="1"/>
                <w:color w:val="auto"/>
              </w:rPr>
            </w:pP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425,396</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688,744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187,079</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1,339,398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1,321,045</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Preferred Stock - $0.01 par value, 5,000,000 shares authorized, no shares issued and outstanding</w:t>
            </w: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26, 2025 and December 27, 2024, respectively</w:t>
            </w:r>
          </w:p>
        </w:tc>
        <w:tc>
          <w:tcPr>
            <w:tcW w:w="1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 $0.01 par value, 100,000,000 shares authorized, 40,674,744 and 40,248,884</w:t>
            </w: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at September 26, 2025 and December 27, 2024, respectively</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399,111</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537,646</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1,858,691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29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2,760,644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2,097,458</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663,186</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578,049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 (income),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37,863,580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37,868,675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45,941,315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45,888,029</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88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Treasury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8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92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6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180" w:type="dxa"/>
            <w:vAlign w:val="bottom"/>
          </w:tcPr>
          <w:p>
            <w:pPr>
              <w:spacing w:after="0"/>
              <w:rPr>
                <w:sz w:val="2"/>
                <w:szCs w:val="2"/>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3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92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27,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40,248,884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399,111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(3,807)</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$ 141,940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$ 537,646</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28,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40,674,391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392,636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$ 152,228</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$ 541,640</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June 27, 2025</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40,737,795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395,078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(2,788)</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$ 165,021</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5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$ 557,718</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26,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40,674,744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399,411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(3,141)</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$ 179,961</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$ 576,638</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88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1"/>
                <w:szCs w:val="11"/>
                <w:color w:val="auto"/>
              </w:rPr>
            </w:pPr>
          </w:p>
        </w:tc>
        <w:tc>
          <w:tcPr>
            <w:tcW w:w="18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940" w:type="dxa"/>
            <w:vAlign w:val="bottom"/>
            <w:gridSpan w:val="3"/>
            <w:vMerge w:val="restart"/>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3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94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29,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39,665,796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356,157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99,951</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$ 454,672</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29, 2024</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39,773,355</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352,672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101,882</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(134,553)</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(5,004)</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$ 447,793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75"/>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June 28, 2024</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39,805,717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356,363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117,406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(264,076)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$ 461,879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Borders>
              <w:top w:val="single" w:sz="8" w:color="CCEEFF"/>
            </w:tcBorders>
            <w:vMerge w:val="continue"/>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ind w:left="8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14,098</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14,098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retired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27,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39,555,254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358,647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123,866</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$ 480,345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27, 2024</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allowance for credit losses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and other operating activities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(51,786)</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liabilities and accrued compensation</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40,938</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80,057</w:t>
            </w:r>
          </w:p>
        </w:tc>
      </w:tr>
      <w:tr>
        <w:trPr>
          <w:trHeight w:val="196"/>
        </w:trPr>
        <w:tc>
          <w:tcPr>
            <w:tcW w:w="7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(41,446)</w:t>
            </w: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and other financing obligations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finance leases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Surrender of shares to pay withholding taxes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contingent earn-out liability</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asset-based loan and revolving credit facilities</w:t>
            </w:r>
          </w:p>
        </w:tc>
        <w:tc>
          <w:tcPr>
            <w:tcW w:w="1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r>
      <w:tr>
        <w:trPr>
          <w:trHeight w:val="230"/>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 under asset-based loan facility</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(37,826)</w:t>
            </w: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on cash and cash equivalents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50,705</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16"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The Chefs’ Warehouse, Inc. (the “Company”), and its wholly-owned subsidiaries, is a distributor of specialty food and center-of-the-plate products in the United States, the Middle East and Canada. The Company is focused on serving the specific needs of chefs who own and/or operate restaurants, country clubs, hotels, caterers, culinary schools, bakeries, patisseries, chocolateries, cruise lines, casinos and specialty food stores.</w:t>
      </w:r>
    </w:p>
    <w:p>
      <w:pPr>
        <w:spacing w:after="0" w:line="2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quarterly periods end on the thirteenth Friday of each quarter. Every six to seven years, the Company will add a fourteenth week to its fourth quarter to more closely align its year-end to the calendar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include all the accounts of the Company and its direct and indirect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Statements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the related interim information contained within the notes to such unaudited condensed consolidated financial statements have been prepared in accordance with accounting principles generally accepted in the United States of America (“GAAP”) and the applicable rules of the Securities and Exchange Commission (“SEC”) for interim information and quarterly reports on Form 10-Q. Accordingly, they do not include all the information and disclosures required by GAAP for complete financial statements. These unaudited condensed consolidated financial statements and related notes should be read in conjunction with the Company’s audited consolidated financial statements and notes thereto for the fiscal year ended December 27, 2024 filed as part of the Company’s Annual Report on Form 10-K (the “2024 Form 10-K”).</w:t>
      </w:r>
    </w:p>
    <w:p>
      <w:pPr>
        <w:spacing w:after="0" w:line="21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appearing in this Form 10-Q have been prepared on the same basis as the audited consolidated financial statements included in the Company’s 2024 Form 10-K, and in the opinion of management, include all normal recurring adjustments that are necessary for the fair statement of the Company’s interim period results. The year-end consolidated balance sheet data was derived from the audited financial statements but does not include all disclosures required by GAAP. Due to seasonal fluctuations and other factors, the results of operations for the thirteen and thirty-nine weeks ended September 26, 2025 are not necessarily indicative of the results to be expected for the full year.</w:t>
      </w:r>
    </w:p>
    <w:p>
      <w:pPr>
        <w:spacing w:after="0" w:line="2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management’s estimates.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principal product category:</w:t>
      </w:r>
    </w:p>
    <w:p>
      <w:pPr>
        <w:spacing w:after="0" w:line="14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840" w:type="dxa"/>
            <w:vAlign w:val="bottom"/>
            <w:tcBorders>
              <w:bottom w:val="single" w:sz="8" w:color="auto"/>
            </w:tcBorders>
          </w:tcPr>
          <w:p>
            <w:pPr>
              <w:spacing w:after="0"/>
              <w:rPr>
                <w:sz w:val="20"/>
                <w:szCs w:val="20"/>
                <w:color w:val="auto"/>
              </w:rPr>
            </w:pPr>
          </w:p>
        </w:tc>
      </w:tr>
      <w:tr>
        <w:trPr>
          <w:trHeight w:val="223"/>
        </w:trPr>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0" w:type="dxa"/>
            <w:vAlign w:val="bottom"/>
          </w:tcPr>
          <w:p>
            <w:pPr>
              <w:spacing w:after="0"/>
              <w:rPr>
                <w:sz w:val="19"/>
                <w:szCs w:val="19"/>
                <w:color w:val="auto"/>
              </w:rPr>
            </w:pPr>
          </w:p>
        </w:tc>
        <w:tc>
          <w:tcPr>
            <w:tcW w:w="18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0" w:type="dxa"/>
            <w:vAlign w:val="bottom"/>
          </w:tcPr>
          <w:p>
            <w:pPr>
              <w:spacing w:after="0"/>
              <w:rPr>
                <w:sz w:val="19"/>
                <w:szCs w:val="19"/>
                <w:color w:val="auto"/>
              </w:rPr>
            </w:pPr>
          </w:p>
        </w:tc>
        <w:tc>
          <w:tcPr>
            <w:tcW w:w="19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27, 2024</w:t>
            </w:r>
          </w:p>
        </w:tc>
      </w:tr>
      <w:tr>
        <w:trPr>
          <w:trHeight w:val="223"/>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Center-of-the-Plate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393,903</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349,263</w:t>
            </w: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1,149,722</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1,057,586</w:t>
            </w: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Dry Goods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481,048</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30"/>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368,701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400,318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29"/>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Pastry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401,837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9"/>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Cheese and Charcuterie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217,332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197,243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Dairy and Eggs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227,651</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Oils and Vinegars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Kitchen Supplies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Specialty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627,416</w:t>
            </w: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582,189</w:t>
            </w: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1,857,251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1,703,058</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61.7 %</w:t>
            </w:r>
          </w:p>
        </w:tc>
      </w:tr>
      <w:tr>
        <w:trPr>
          <w:trHeight w:val="24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2,760,644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 determines its product category classification based on how the Company currently markets its products to its customers. The Company’s definition of its principal product categories may differ from the way in which other companies present similar information. Net sales by product category includes estimates of product mix for certain locations that are not yet fully integrated into the Company’s sales reporting system as of the reporting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has a share repurchase program that is executed through purchases made from time to time either in the open market or through private market transactions. During the thirty-nine weeks ended September 26, 2025 and September 27, 2024, shares purchased were retired and returned to the status of authorized and unissued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In September 2025, the Financial Accounting Standards Board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amending the requirements for capitalizing software costs to when both the following conditions are met: (1) the funding of the project has the appropriate authorization and (2) it is probable that the project will be completed and the software will be used to perform the intended function. The guidance is effective for fiscal years beginning after December 15, 2027, and interim periods within that fiscal year, and may be applied on a prospective, modified prospective or retrospective basis. Early adoption is permitted. The Company expects to adopt this guidance when effective and is evaluating the impact of adoption on its consolidated financial statements.</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Measurements of Credit Losses for Accounts Receivable and Contract Assets: </w:t>
      </w:r>
      <w:r>
        <w:rPr>
          <w:rFonts w:ascii="Times New Roman" w:cs="Times New Roman" w:eastAsia="Times New Roman" w:hAnsi="Times New Roman"/>
          <w:sz w:val="18"/>
          <w:szCs w:val="18"/>
          <w:color w:val="auto"/>
        </w:rPr>
        <w:t>In July 2025, the FASB issued guidance to provide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estimation of expected credit losses for current accounts receivable and current contract assets to assume that current conditions as of the balance sheet date will persist through a reasonable and supportable forecast period. The guidance is effective for fiscal years beginning after December 15, 2025, and interim periods within that fiscal year. Early adoption is permitted. The Company expects to adopt this guidance when effective and adoption is not expected to have a material impact on its consolidated financial statements.</w:t>
      </w:r>
    </w:p>
    <w:p>
      <w:pPr>
        <w:spacing w:after="0" w:line="21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Induced Conversions of Convertible Debt Instruments</w:t>
      </w:r>
      <w:r>
        <w:rPr>
          <w:rFonts w:ascii="Times New Roman" w:cs="Times New Roman" w:eastAsia="Times New Roman" w:hAnsi="Times New Roman"/>
          <w:sz w:val="18"/>
          <w:szCs w:val="18"/>
          <w:color w:val="auto"/>
        </w:rPr>
        <w:t>: In November 2024, the FASB issued guidance which clarifies the requirements for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certain settlements of convertible debt instruments should be accounted for as an induced conversion. The guidance is effective for fiscal years beginning after December 15, 2025, and interim periods within that fiscal year. Early adoption is permitted. The impact of this guidance is dependent on future induced conversions, if any, of the Company’s convertible debt instruments.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0" w:name="page11"/>
    <w:bookmarkEnd w:id="10"/>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In November 2024, the FASB issued guidance to require disclosure in the notes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categories of expenses that are included on the face of the income statement, including purchases of inventory, employee compensation and depreciation and amortization, as well as additional disclosure about selling expenses. The guidance is effective for fiscal years beginning after December 15, 2026, and interim periods for fiscal years beginning after December 15, 2027 on a prospective basis. Early adoption is permitted. The Company expects to adopt this guidance when effective and is evaluating the impact of adoption on its consolidated financial statements, which is limited to financial statement disclosures.</w:t>
      </w:r>
    </w:p>
    <w:p>
      <w:pPr>
        <w:spacing w:after="0" w:line="20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December 2023, the FASB issued guidance designed to improve the transparency and usefulness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disclosures. The amendments include provisions to address the consistency of the income tax rate reconciliation and requirement to disaggregate income taxes paid by jurisdiction. The new disclosure requirements will be effective in the Company's Annual Report on Form 10-K for the fiscal year ending December 26, 2025. The impact of the guidance is limited to financial statement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Net Income per Share</w:t>
      </w:r>
    </w:p>
    <w:p>
      <w:pPr>
        <w:spacing w:after="0" w:line="21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number of shares of common stock outstanding during the period. Diluted net income per share adjusts basic net income per share for all the potentially dilutive shares outstanding during the period. When the Company’s convertible notes are dilutive, interest on the convertible notes, net of tax, is added back to net income in order to calculate diluted earnings available to common shareholders.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4"/>
                <w:szCs w:val="24"/>
                <w:color w:val="auto"/>
              </w:rPr>
            </w:pPr>
          </w:p>
        </w:tc>
        <w:tc>
          <w:tcPr>
            <w:tcW w:w="35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27, 2024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27, 2024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37,863,580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38,717,363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37,868,675</w:t>
            </w: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45,941,315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45,957,082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45,888,029</w:t>
            </w:r>
          </w:p>
        </w:tc>
        <w:tc>
          <w:tcPr>
            <w:tcW w:w="0" w:type="dxa"/>
            <w:vAlign w:val="bottom"/>
          </w:tcPr>
          <w:p>
            <w:pPr>
              <w:spacing w:after="0"/>
              <w:rPr>
                <w:sz w:val="1"/>
                <w:szCs w:val="1"/>
                <w:color w:val="auto"/>
              </w:rPr>
            </w:pPr>
          </w:p>
        </w:tc>
      </w:tr>
      <w:tr>
        <w:trPr>
          <w:trHeight w:val="54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net income per common share:</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4"/>
                <w:szCs w:val="24"/>
                <w:color w:val="auto"/>
              </w:rPr>
            </w:pPr>
          </w:p>
        </w:tc>
        <w:tc>
          <w:tcPr>
            <w:tcW w:w="35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27, 2024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27, 2024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convertible notes, net of tax</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37,863,580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38,717,363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37,868,675</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unvested common shares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570,736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warrants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55,801</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7,392,817</w:t>
            </w:r>
          </w:p>
        </w:tc>
        <w:tc>
          <w:tcPr>
            <w:tcW w:w="0" w:type="dxa"/>
            <w:vAlign w:val="bottom"/>
          </w:tcPr>
          <w:p>
            <w:pPr>
              <w:spacing w:after="0"/>
              <w:rPr>
                <w:sz w:val="1"/>
                <w:szCs w:val="1"/>
                <w:color w:val="auto"/>
              </w:rPr>
            </w:pPr>
          </w:p>
        </w:tc>
      </w:tr>
      <w:tr>
        <w:trPr>
          <w:trHeight w:val="155"/>
        </w:trPr>
        <w:tc>
          <w:tcPr>
            <w:tcW w:w="3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diluted common shares</w:t>
            </w: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45,941,315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45,957,082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45,888,029</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Potentially dilutive securities that have been excluded from the calculation of diluted net income per common share because the effect is anti-dilutive are as</w:t>
      </w:r>
    </w:p>
    <w:p>
      <w:pPr>
        <w:sectPr>
          <w:pgSz w:w="11900" w:h="16838" w:orient="portrait"/>
          <w:cols w:equalWidth="0" w:num="1">
            <w:col w:w="11220"/>
          </w:cols>
          <w:pgMar w:left="320" w:top="891" w:right="35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0" w:lineRule="exact"/>
        <w:rPr>
          <w:sz w:val="20"/>
          <w:szCs w:val="20"/>
          <w:color w:val="auto"/>
        </w:rPr>
      </w:pPr>
    </w:p>
    <w:p>
      <w:pPr>
        <w:spacing w:after="0" w:line="398"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Restricted share awards (“RSAs”) and restricted stock units (“RSUs”)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5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1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27, 2024</w:t>
            </w:r>
          </w:p>
        </w:tc>
      </w:tr>
      <w:tr>
        <w:trPr>
          <w:trHeight w:val="398"/>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tcPr>
          <w:p>
            <w:pPr>
              <w:spacing w:after="0"/>
              <w:rPr>
                <w:sz w:val="24"/>
                <w:szCs w:val="24"/>
                <w:color w:val="auto"/>
              </w:rPr>
            </w:pPr>
          </w:p>
        </w:tc>
        <w:tc>
          <w:tcPr>
            <w:tcW w:w="1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222,642</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-264795</wp:posOffset>
            </wp:positionV>
            <wp:extent cx="709803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1140" w:lineRule="exact"/>
        <w:rPr>
          <w:sz w:val="20"/>
          <w:szCs w:val="20"/>
          <w:color w:val="auto"/>
        </w:rPr>
      </w:pPr>
    </w:p>
    <w:p>
      <w:pPr>
        <w:sectPr>
          <w:pgSz w:w="11900" w:h="16838" w:orient="portrait"/>
          <w:cols w:equalWidth="0" w:num="2">
            <w:col w:w="3520" w:space="400"/>
            <w:col w:w="7300"/>
          </w:cols>
          <w:pgMar w:left="320" w:top="891" w:right="359" w:bottom="1440" w:gutter="0" w:footer="0" w:header="0"/>
          <w:type w:val="continuous"/>
        </w:sectPr>
      </w:pPr>
    </w:p>
    <w:p>
      <w:pPr>
        <w:spacing w:after="0" w:line="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contingent earn-out liabilities are measured at fair value. These liabilities were estimated using Level 3 inputs. The fair value of contingent consideration was predominantly determined based on a probability-based approach which includes projected results, percentage probability of occurrence and the application of a discount rate to present value the payments. A significant change in projected results, discount rate, or probabilities of occurrence could result in a significantly higher or lower fair value measurement. Changes in the fair value of contingent earn-out liabilities are reflected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operating expenses (income), net </w:t>
      </w:r>
      <w:r>
        <w:rPr>
          <w:rFonts w:ascii="Times New Roman" w:cs="Times New Roman" w:eastAsia="Times New Roman" w:hAnsi="Times New Roman"/>
          <w:sz w:val="18"/>
          <w:szCs w:val="18"/>
          <w:color w:val="auto"/>
        </w:rPr>
        <w:t>on the condensed consolidated statements of operations.</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contingent earn-out liability totaled $1,350 as of September 26, 2025, of which $600 is long-term and reflected as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Company’s condensed consolidated balance sheets. The remaining portion is short-term and reflected as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on the Company’s condensed consolidated balance sheets. The contingent earn-out liability totaled $750 as of December 27, 2024 and is all short-term in nature. Contingent earn-out liability payments in excess of the acquisition date fair value of the underlying contingent earn-out liability are classified as operating activities on the Company’s condensed consolidated statements of cash flows and all other such payments are classified as financing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accounts receivable and accounts payable approximate fair value due to their immediate to short-term nature. The fair values of the asset-based loan facility and term loan approximated their book values as of September 26, 2025 and December 27, 2024, as these instruments had variable interest rates that reflected current market rates available to the Company and are classified as Level 2 fair value measurements.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Company’s convertible notes and its unsecured note issued in connection with the acquisition of Oakville Produce Partners, LLC (“GreenLeaf”) in fiscal 2023 (“GreenLeaf Note”). The fair value of the Company’s 2028 Convertible Senior Notes was based on bid/ask quotes as of or near the balance sheet date. The fair value of the GreenLeaf Note as of December 27, 2024 was determined based upon observable market prices of similar debt instruments.</w:t>
      </w: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40" w:type="dxa"/>
            <w:vAlign w:val="bottom"/>
          </w:tcPr>
          <w:p>
            <w:pPr>
              <w:spacing w:after="0"/>
              <w:rPr>
                <w:sz w:val="13"/>
                <w:szCs w:val="13"/>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6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365,556</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GreenLeaf Note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finished product and are reflected net of adjustments for shrinkage, excess and obsolescence to approximate their net realizable value totaling $9,370 and $11,579 at September 26, 2025 and December 27,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Property and equipment is net of accumulated depreciation and amortization of $178,149 and $147,902 at September 26, 2025 and December 27, 2024,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 Assets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presented as follows: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1"/>
        </w:trPr>
        <w:tc>
          <w:tcPr>
            <w:tcW w:w="9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3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December 27, 2024</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356,298</w:t>
            </w:r>
          </w:p>
        </w:tc>
      </w:tr>
      <w:tr>
        <w:trPr>
          <w:trHeight w:val="229"/>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8"/>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September 26, 2025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356,633</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intangible assets are net of accumulated amortization of $175,219 and $157,032 as of September 26, 2025 and December 27, 2024, respectively. Amortization expense for other intangibles was $6,084 and $5,874 for the thirteen weeks ended September 26, 2025 and September 27, 2024, respectively, and $18,187 and $18,216 for the thirty-nine weeks ended September 26, 2025 and September 27,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as of September 26, 2025 and December 27, 2024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Weighted Average Effective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80" w:type="dxa"/>
            <w:vAlign w:val="bottom"/>
          </w:tcPr>
          <w:p>
            <w:pPr>
              <w:spacing w:after="0"/>
              <w:rPr>
                <w:sz w:val="17"/>
                <w:szCs w:val="17"/>
                <w:color w:val="auto"/>
              </w:rPr>
            </w:pPr>
          </w:p>
        </w:tc>
        <w:tc>
          <w:tcPr>
            <w:tcW w:w="1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2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Interest Rate at</w:t>
            </w:r>
          </w:p>
        </w:tc>
        <w:tc>
          <w:tcPr>
            <w:tcW w:w="1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26, 2025</w:t>
            </w:r>
          </w:p>
        </w:tc>
        <w:tc>
          <w:tcPr>
            <w:tcW w:w="18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2029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252,750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2028</w:t>
            </w:r>
          </w:p>
        </w:tc>
        <w:tc>
          <w:tcPr>
            <w:tcW w:w="140" w:type="dxa"/>
            <w:vAlign w:val="bottom"/>
          </w:tcPr>
          <w:p>
            <w:pPr>
              <w:spacing w:after="0"/>
              <w:rPr>
                <w:sz w:val="19"/>
                <w:szCs w:val="19"/>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Asset-based loan facility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2030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1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Various</w:t>
            </w:r>
          </w:p>
        </w:tc>
        <w:tc>
          <w:tcPr>
            <w:tcW w:w="140" w:type="dxa"/>
            <w:vAlign w:val="bottom"/>
          </w:tcPr>
          <w:p>
            <w:pPr>
              <w:spacing w:after="0"/>
              <w:rPr>
                <w:sz w:val="19"/>
                <w:szCs w:val="19"/>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104,918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costs</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0" w:type="dxa"/>
            <w:vAlign w:val="bottom"/>
          </w:tcPr>
          <w:p>
            <w:pPr>
              <w:spacing w:after="0"/>
              <w:rPr>
                <w:sz w:val="1"/>
                <w:szCs w:val="1"/>
                <w:color w:val="auto"/>
              </w:rPr>
            </w:pPr>
          </w:p>
        </w:tc>
      </w:tr>
      <w:tr>
        <w:trPr>
          <w:trHeight w:val="223"/>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 obligations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733,361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706,784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installments</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(21,623)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23"/>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711,738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688,744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Term Loan Credit Facility</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June 2025, the Company entered into an amendment (“Thirteenth Amendment”) to its senior secured term loan agreement, which reduced the interest rate spread on its senior secured term loan facility. Arrangement fees of $525 and third-party transaction costs of $49 were expensed as incurred during the thirty-nine weeks ended September 26, 2025 and included in i</w:t>
      </w:r>
      <w:r>
        <w:rPr>
          <w:rFonts w:ascii="Times New Roman" w:cs="Times New Roman" w:eastAsia="Times New Roman" w:hAnsi="Times New Roman"/>
          <w:sz w:val="18"/>
          <w:szCs w:val="18"/>
          <w:i w:val="1"/>
          <w:iCs w:val="1"/>
          <w:color w:val="auto"/>
        </w:rPr>
        <w:t>nterest expense and other operating expenses</w:t>
      </w:r>
      <w:r>
        <w:rPr>
          <w:rFonts w:ascii="Times New Roman" w:cs="Times New Roman" w:eastAsia="Times New Roman" w:hAnsi="Times New Roman"/>
          <w:sz w:val="18"/>
          <w:szCs w:val="18"/>
          <w:color w:val="auto"/>
        </w:rPr>
        <w:t>, respectively, within the Company’s condensed consolidated statements of operations.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Company entered into an amendment (“Eleventh Amendment”) to its senior secured term loan agreement, which reduced the interest rate spread on its senior secured term loan facility. As a result of this amendment, the Company incurred a loss on debt extinguishment of $50 during the thirty-nine weeks ended September 27, 2024, which represents the portion of unamortized deferred financing fees attributable to the lender that exited the loan syndicate. Arrangement fees of $775 and third-party transaction costs of $91 were expensed as incurred during the thirty-nine weeks ended September 27, 2024 and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respectively, within the Company’s condensed consolidated statements of operations.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Additionally, during the thirty-nine weeks ended September 26, 2025 and September 27, 2024, the Company made voluntary principal prepayments totaling $5,000 and $12,000, respectively, towards the senior secured term loan. In connection with the prepayments, the Company wrote-off unamortized deferred financing fees of $150 during the thirty-nine weeks ended September 26, 2025 and $146 and $462 during the thirteen and thirty-nine weeks ended September 27, 2024, respectively, which were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within the Company’s condensed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Asset-Based Loan Facility</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August 20, 2025, the Company entered into an amendment (“Eighth Amendment”) to its asset-based loan (the “ABL”) credit agreement, which extended the maturity date to August 20, 2030, eliminated the credit spread adjustment to the interest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3" w:name="page14"/>
    <w:bookmarkEnd w:id="13"/>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rate charged on borrowings and increased the aggregate letters of credit. There were no changes to the aggregate commitments of $300,000. The Eighth Amendment to the ABL was accounted for as a debt modification. The Company incurred transaction costs of $658, which were capitalized as deferred financing fees to be amortized over the term of the ABL, and are presented in </w:t>
      </w:r>
      <w:r>
        <w:rPr>
          <w:rFonts w:ascii="Times New Roman" w:cs="Times New Roman" w:eastAsia="Times New Roman" w:hAnsi="Times New Roman"/>
          <w:sz w:val="18"/>
          <w:szCs w:val="18"/>
          <w:i w:val="1"/>
          <w:iCs w:val="1"/>
          <w:color w:val="auto"/>
        </w:rPr>
        <w:t>other non-current assets</w:t>
      </w:r>
      <w:r>
        <w:rPr>
          <w:rFonts w:ascii="Times New Roman" w:cs="Times New Roman" w:eastAsia="Times New Roman" w:hAnsi="Times New Roman"/>
          <w:sz w:val="18"/>
          <w:szCs w:val="18"/>
          <w:color w:val="auto"/>
        </w:rPr>
        <w:t xml:space="preserve"> in the Company’s condensed consolidated balance sheet.</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September 26, 2025, the Company had reserved $40,484 of its ABL facility for the issuance of letters of credit and funds totaling $159,516 were available for borrowing under the ABL.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GreenLeaf Unsecured Note</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GreenLeaf Note matured on April 20, 2025, and the Company made the final principal payment of $5,000 during the thirty-nine weeks ended September 26, 2025. Previously, the Company made a scheduled principal payment of $5,000 towards the GreenLeaf Note during the thirty-nine weeks ended September 27, 2024. The GreenLeaf Note is presented at December 27, 2024 under the caption “Finance leases and other financing obligations” in the table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carrying value of the Company’s 2028 convertible senior notes as of September 26, 2025 and December 27, 2024 was: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26, 2025</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220" w:type="dxa"/>
            <w:vAlign w:val="bottom"/>
          </w:tcPr>
          <w:p>
            <w:pPr>
              <w:spacing w:after="0"/>
              <w:rPr>
                <w:sz w:val="14"/>
                <w:szCs w:val="14"/>
                <w:color w:val="auto"/>
              </w:rPr>
            </w:pPr>
          </w:p>
        </w:tc>
        <w:tc>
          <w:tcPr>
            <w:tcW w:w="11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2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Notes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282,916</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interest expense on the Company’s convertible notes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28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62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27, 2024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7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27, 2024</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deferred costs and premium</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of RSAs and RSUs during the thirty-nine weeks ended September 26,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26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25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Market-Based</w:t>
            </w:r>
          </w:p>
        </w:tc>
        <w:tc>
          <w:tcPr>
            <w:tcW w:w="0" w:type="dxa"/>
            <w:vAlign w:val="bottom"/>
          </w:tcPr>
          <w:p>
            <w:pPr>
              <w:spacing w:after="0"/>
              <w:rPr>
                <w:sz w:val="1"/>
                <w:szCs w:val="1"/>
                <w:color w:val="auto"/>
              </w:rPr>
            </w:pPr>
          </w:p>
        </w:tc>
      </w:tr>
      <w:tr>
        <w:trPr>
          <w:trHeight w:val="174"/>
        </w:trPr>
        <w:tc>
          <w:tcPr>
            <w:tcW w:w="33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1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1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4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3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27,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26,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476,877</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1,307,313</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granted 992,363 RSAs and RSUs to its employees and directors at a weighted average grant date fair value of $63.05 during the thirty-nine weeks ended September 26, 2025. These awards are a mix of time-, market- and performance-based grants that generally vest over a range of periods up to five years. The Company recognized expense on its RSAs and RSUs totaling $4,345 and $3,813 during the thirteen weeks ended September 26, 2025 and September 27, 2024, respectively, and $12,689 and $11,349 during the thirty-nine weeks ended September 26, 2025 and September 27, 2024, respectively. No share-based compensation expense has been capitalized.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ind w:right="140"/>
        <w:spacing w:after="0" w:line="261" w:lineRule="auto"/>
        <w:rPr>
          <w:sz w:val="20"/>
          <w:szCs w:val="20"/>
          <w:color w:val="auto"/>
        </w:rPr>
      </w:pPr>
      <w:r>
        <w:rPr>
          <w:rFonts w:ascii="Times New Roman" w:cs="Times New Roman" w:eastAsia="Times New Roman" w:hAnsi="Times New Roman"/>
          <w:sz w:val="18"/>
          <w:szCs w:val="18"/>
          <w:color w:val="auto"/>
        </w:rPr>
        <w:t>At September 26, 2025, the total unrecognized compensation cost for unvested RSAs and RSUs was $29,236 and the weighted-average remaining period was approximately 1.8 years. Of this total, $17,716 related to awards with time-based vesting provisions and $11,520 related to awards with performance-and market-based vesting provisions. At September 26, 2025, the weighted-average remaining period for time-based vesting and performance-based vesting RSAs and RSUs were approximately 1.7 years and 1.9 years,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Share Units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2025, the Company’s Board of Directors approved a grant of a total of 541,375 performance-based restricted share units (“PSUs”) to certain of the Company’s officers and employees under the Company’s 2019 Omnibus Equity Incentive Plan. The PSUs, which have a four-year term from the date of grant, are subject to service and performance conditions and will only become vested and payable to the extent that a qualifying change in control occurs during the four-year period. The fair value of these awards was $22,235, which was determined using a Monte Carlo simulation in order to model a range of possible future stock prices for the Company’s common stock. No share-based compensation expense has been recorded in fiscal 2025 for these PSUs.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97"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In November 2023, the Company announced a two-year share repurchase program in an amount up to $100,000. The remaining share purchase authorization was $67,617 at September 26, 2025. The Company is not obligated to repurchase any specific number of shares and may suspend or discontinue the program at any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Company’s effective tax rate was 32.6% and 30.0% for the thirteen weeks ended September 26, 2025 and September 27, 2024, respectively, and 28.0% and 30.0% for the thirty-nine weeks ended September 26, 2025 and September 27, 2024, respectively. The effective tax rate for the thirty-nine weeks ended September 26, 2025 reflects the annual effective tax rate estimated for the full fiscal year, adjusted for the net impact of discrete items related to a tax benefit from the vesting of stock awards during the period, partially offset by return to provision adjustments. The effective tax rate otherwise varies from the 21% statutory rate primarily due to state taxes and permanent adjustments.</w:t>
      </w:r>
    </w:p>
    <w:p>
      <w:pPr>
        <w:spacing w:after="0" w:line="20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 five year carryback allowed under the Coronavirus Aid, Relief, and Economic Security Act (“CARES Act”), the Company carried back its 2020 federal income tax loss, which resulted in a income tax refund receivable of $26,684 as of September 26, 2025. The receivable is reflected in </w:t>
      </w:r>
      <w:r>
        <w:rPr>
          <w:rFonts w:ascii="Times New Roman" w:cs="Times New Roman" w:eastAsia="Times New Roman" w:hAnsi="Times New Roman"/>
          <w:sz w:val="18"/>
          <w:szCs w:val="18"/>
          <w:i w:val="1"/>
          <w:i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assets </w:t>
      </w:r>
      <w:r>
        <w:rPr>
          <w:rFonts w:ascii="Times New Roman" w:cs="Times New Roman" w:eastAsia="Times New Roman" w:hAnsi="Times New Roman"/>
          <w:sz w:val="18"/>
          <w:szCs w:val="18"/>
          <w:color w:val="auto"/>
        </w:rPr>
        <w:t>on the Company’s condensed consolidated balance sheet.</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July 4, 2025, the United States enacted tax legislation through the One Big Beautiful Bill Act (“OBBBA”). The Company is in the process of assessing the impact of this legislation on its financial statements. The current expectation is that OBBBA will not have a material impact on the Company’s estimated annual effective tax rate in 2025, but will impact the split between current taxes payable and deferred taxes.</w:t>
      </w:r>
    </w:p>
    <w:p>
      <w:pPr>
        <w:spacing w:after="0" w:line="21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introduced a framework under Pillar Two which includes a global corporate minimum tax rate of 15%. Some jurisdictions in which the Company operates have started to enact laws implementing Pillar Two, including Canada which enacted the rule in June 2024. The Company is monitoring these developments and currently does not believe the rules effective in fiscal 2025 will have a material impact on its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25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Company’s business consists of three operating segments: East, Midwest and West that aggregate into one reportable segment, foodservice distribution, which is concentrated primarily in the United States.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accounting policies of the foodservice distribution segment are the same as those for the consolidated company. The Company’s chief operating decision maker, who is the Company’s chief executive officer, uses gross profit as the measure of profit or loss to assess segment performance and allocate resources.</w:t>
      </w:r>
    </w:p>
    <w:p>
      <w:pPr>
        <w:spacing w:after="0" w:line="20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Consolidated gross profit, reported on the statement of operations and comprehensive income, is used to evaluate whether to reinvest profits into the foodservice distribution segment or into other parts of the entity, such as for acquisitions or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ind w:right="40"/>
        <w:spacing w:after="0" w:line="282" w:lineRule="auto"/>
        <w:rPr>
          <w:sz w:val="20"/>
          <w:szCs w:val="20"/>
          <w:color w:val="auto"/>
        </w:rPr>
      </w:pPr>
      <w:r>
        <w:rPr>
          <w:rFonts w:ascii="Times New Roman" w:cs="Times New Roman" w:eastAsia="Times New Roman" w:hAnsi="Times New Roman"/>
          <w:sz w:val="18"/>
          <w:szCs w:val="18"/>
          <w:color w:val="auto"/>
        </w:rPr>
        <w:t>repurchase its common shares. Additionally, gross profit is used to monitor budget versus actual results and in competitive analysis by benchmarking to the Company’s competitors. Consolidated total assets, reported on the balance sheet, is the measure of segment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foodservice distribution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35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27, 2024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27, 2024</w:t>
            </w: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2,524,560</w:t>
            </w:r>
          </w:p>
        </w:tc>
      </w:tr>
      <w:tr>
        <w:trPr>
          <w:trHeight w:val="22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236,084</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2,760,644</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3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 non-production costs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2,041,796</w:t>
            </w:r>
          </w:p>
        </w:tc>
      </w:tr>
      <w:tr>
        <w:trPr>
          <w:trHeight w:val="229"/>
        </w:trPr>
        <w:tc>
          <w:tcPr>
            <w:tcW w:w="3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 food processing costs </w:t>
            </w:r>
            <w:r>
              <w:rPr>
                <w:rFonts w:ascii="Times New Roman" w:cs="Times New Roman" w:eastAsia="Times New Roman" w:hAnsi="Times New Roman"/>
                <w:sz w:val="23"/>
                <w:szCs w:val="23"/>
                <w:color w:val="auto"/>
                <w:vertAlign w:val="superscript"/>
              </w:rPr>
              <w:t>(3)(4)</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2,097,458</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663,186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right="200" w:hanging="328"/>
        <w:spacing w:after="0" w:line="198" w:lineRule="auto"/>
        <w:tabs>
          <w:tab w:leader="none" w:pos="648"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Company’s revenue is disaggregated by geographic area based on sales office location. No country outside of the United States had revenue greater than 10% of consolidated revenue for the thirteen and thirty-nine weeks ended September 26, 2025 and September 27, 2024.</w:t>
      </w:r>
    </w:p>
    <w:p>
      <w:pPr>
        <w:ind w:left="660" w:right="20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Non-production costs represent the net purchase price paid for products sold, plus the cost of transportation necessary to bring the product to the Company’s distribution facilities. Non-production costs include purchase incentives and product purchase credits from certain vendors.</w:t>
      </w:r>
    </w:p>
    <w:p>
      <w:pPr>
        <w:spacing w:after="0" w:line="1" w:lineRule="exact"/>
        <w:rPr>
          <w:rFonts w:ascii="Times New Roman" w:cs="Times New Roman" w:eastAsia="Times New Roman" w:hAnsi="Times New Roman"/>
          <w:sz w:val="23"/>
          <w:szCs w:val="23"/>
          <w:color w:val="auto"/>
          <w:vertAlign w:val="superscript"/>
        </w:rPr>
      </w:pPr>
    </w:p>
    <w:p>
      <w:pPr>
        <w:ind w:left="660" w:right="30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 but are not limited to, direct labor and benefits, applicable overhead and depreciation of equipment and facilities used in food processing activities.</w:t>
      </w:r>
    </w:p>
    <w:p>
      <w:pPr>
        <w:spacing w:after="0" w:line="1" w:lineRule="exact"/>
        <w:rPr>
          <w:rFonts w:ascii="Times New Roman" w:cs="Times New Roman" w:eastAsia="Times New Roman" w:hAnsi="Times New Roman"/>
          <w:sz w:val="23"/>
          <w:szCs w:val="23"/>
          <w:color w:val="auto"/>
          <w:vertAlign w:val="superscript"/>
        </w:rPr>
      </w:pPr>
    </w:p>
    <w:p>
      <w:pPr>
        <w:ind w:left="660" w:right="6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included $242 and $300 of depreciation expense for the thirteen weeks ended September 26, 2025 and September 27, 2024, respectively and $760 and $962 for the thirty-nine weeks ended September 26, 2025 and September 27, 2024, respectively.</w:t>
      </w:r>
    </w:p>
    <w:p>
      <w:pPr>
        <w:spacing w:after="0" w:line="21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Refer to the condensed consolidated statements of operations and comprehensive income for the reconciliation of consolidated gross profit, which is the Company’s segment measure of profit or loss, to consolidated income before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Supplemental Disclosures of Cash Flow Information</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51"/>
        </w:trPr>
        <w:tc>
          <w:tcPr>
            <w:tcW w:w="7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27, 2024</w:t>
            </w:r>
          </w:p>
        </w:tc>
      </w:tr>
      <w:tr>
        <w:trPr>
          <w:trHeight w:val="210"/>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 net of cash received</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29,486</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5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7"/>
          <w:szCs w:val="17"/>
          <w:color w:val="auto"/>
        </w:rPr>
        <w:t>n October 1, 2025, the Company entered into an asset purchase agreement to acquire substantially all of the assets of Italco Food Products, a specialty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food distributor based in Denver, Colorado. The purchase price was $16,500, consisting of $5,500 cash paid at closing and $11,000 from the issuance of an unsecured note and is subject to customary working capital true-ups. The assets acquired consist primarily of inventory, accounts receivable and goodwill and other intangibles and are not material to the Company’s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17" w:name="page18"/>
    <w:bookmarkEnd w:id="17"/>
    <w:p>
      <w:pPr>
        <w:ind w:right="360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condensed consolidated financial statements and footnotes to help provide an understanding of our financial condition, changes in our financial condition and results of operations. The following discussion should be read in conjunction with information included in our Annual Report on Form 10-K for the fiscal year ended December 27, 2024 (the “2024 Form 10-K”) filed with the SEC. Unless otherwise indicated, the terms “Company”, “Chefs’ Warehouse”, “we”, “us” and “our” refer to The Chefs’ Warehouse, Inc. and its subsidiaries. All dollar amounts included in the tables in the following discussion are presented in thousands.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premier distributor of specialty foods in the leading culinary markets in the United States, the Middle East and Canada. We offer more than 88,000 stock-keeping units (“SKUs”), ranging from high-quality specialty foods and ingredients to basic ingredients and staples and center-of-the-plate proteins. We serve more than 50,000 core customer locations, primarily located in our 23 geographic markets across the United States, the Middle East and Canada, and the majority of our customers are independent restaurants and fine dining establishments. We also sell certain of our center-of-the-plate products directly to consumers through our Allen Brothers subsidiary.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Indicators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our management team considers a variety of performance and financial measures. The key measures used by our management are discussed below.</w:t>
      </w:r>
    </w:p>
    <w:p>
      <w:pPr>
        <w:spacing w:after="0" w:line="187" w:lineRule="exact"/>
        <w:rPr>
          <w:sz w:val="20"/>
          <w:szCs w:val="20"/>
          <w:color w:val="auto"/>
        </w:rPr>
      </w:pPr>
    </w:p>
    <w:p>
      <w:pPr>
        <w:ind w:left="500" w:right="10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sales growth. </w:t>
      </w:r>
      <w:r>
        <w:rPr>
          <w:rFonts w:ascii="Times New Roman" w:cs="Times New Roman" w:eastAsia="Times New Roman" w:hAnsi="Times New Roman"/>
          <w:sz w:val="18"/>
          <w:szCs w:val="18"/>
          <w:color w:val="auto"/>
        </w:rPr>
        <w:t>Our net sales growth is driven principally by changes in volume and, to a lesser degree, changes in price related to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in commodity prices and product mix. In particular, product cost inflation and deflation impact our results of operations and, depending on the amount of inflation or deflation, such impact may be material. For example, inflation may increase the dollar value of our sales, and deflation may cause the dollar value of our sales to fall despite our unit sales remaining constant or growing.</w:t>
      </w:r>
    </w:p>
    <w:p>
      <w:pPr>
        <w:spacing w:after="0" w:line="206" w:lineRule="exact"/>
        <w:rPr>
          <w:rFonts w:ascii="Times New Roman" w:cs="Times New Roman" w:eastAsia="Times New Roman" w:hAnsi="Times New Roman"/>
          <w:sz w:val="18"/>
          <w:szCs w:val="18"/>
          <w:color w:val="auto"/>
        </w:rPr>
      </w:pPr>
    </w:p>
    <w:p>
      <w:pPr>
        <w:jc w:val="both"/>
        <w:ind w:left="500" w:right="200" w:hanging="330"/>
        <w:spacing w:after="0" w:line="267"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profit and gross profit margin. </w:t>
      </w:r>
      <w:r>
        <w:rPr>
          <w:rFonts w:ascii="Times New Roman" w:cs="Times New Roman" w:eastAsia="Times New Roman" w:hAnsi="Times New Roman"/>
          <w:sz w:val="18"/>
          <w:szCs w:val="18"/>
          <w:color w:val="auto"/>
        </w:rPr>
        <w:t>Our gross profit and gross profit as a percentage of net sales, or gross profit margin, are driven principally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volume and fluctuations in food and commodity prices and our ability to pass on any price increases to our customers in an inflationary environment and maintain or increase gross profit margin when our costs decline.</w:t>
      </w:r>
    </w:p>
    <w:p>
      <w:pPr>
        <w:spacing w:after="0" w:line="200" w:lineRule="exact"/>
        <w:rPr>
          <w:rFonts w:ascii="Times New Roman" w:cs="Times New Roman" w:eastAsia="Times New Roman" w:hAnsi="Times New Roman"/>
          <w:sz w:val="18"/>
          <w:szCs w:val="18"/>
          <w:color w:val="auto"/>
        </w:rPr>
      </w:pPr>
    </w:p>
    <w:p>
      <w:pPr>
        <w:ind w:left="500" w:right="3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The majority of our pricing is set at the time of order and we typically pass cost increases or decreases to our customers.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pass along cost changes and the timing of those changes can cause fluctuations in our gross profit margin. Also, some of our pricing to customers is based on a cost-plus methodology, which impacts gross profit in periods of cost inflation or deflation.</w:t>
      </w:r>
    </w:p>
    <w:p>
      <w:pPr>
        <w:spacing w:after="0" w:line="200" w:lineRule="exact"/>
        <w:rPr>
          <w:rFonts w:ascii="Times New Roman" w:cs="Times New Roman" w:eastAsia="Times New Roman" w:hAnsi="Times New Roman"/>
          <w:sz w:val="18"/>
          <w:szCs w:val="18"/>
          <w:color w:val="auto"/>
        </w:rPr>
      </w:pPr>
    </w:p>
    <w:p>
      <w:pPr>
        <w:ind w:left="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Our gross profit margin is also a function of the product mix of our net sales in any period. Given our wide selection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as well as the continuous introduction of new products, we can experience shifts in product sales mix that have an impact on net sales and gross profit margins. Product mix is most significantly impacted by the introduction of new product categories in markets that we have more recently entered and from acquisitions, as well as the continued growth in item penetration on higher velocity items such as dairy products.</w:t>
      </w:r>
    </w:p>
    <w:p>
      <w:pPr>
        <w:spacing w:after="0" w:line="206" w:lineRule="exact"/>
        <w:rPr>
          <w:rFonts w:ascii="Times New Roman" w:cs="Times New Roman" w:eastAsia="Times New Roman" w:hAnsi="Times New Roman"/>
          <w:sz w:val="18"/>
          <w:szCs w:val="18"/>
          <w:color w:val="auto"/>
        </w:rPr>
      </w:pPr>
    </w:p>
    <w:p>
      <w:pPr>
        <w:ind w:left="500" w:right="200" w:hanging="330"/>
        <w:spacing w:after="0" w:line="267"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Measurements. </w:t>
      </w:r>
      <w:r>
        <w:rPr>
          <w:rFonts w:ascii="Times New Roman" w:cs="Times New Roman" w:eastAsia="Times New Roman" w:hAnsi="Times New Roman"/>
          <w:sz w:val="18"/>
          <w:szCs w:val="18"/>
          <w:color w:val="auto"/>
        </w:rPr>
        <w:t>In assessing our results, we utilize both total and organic growth, which excludes growth from an acquired business until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reflected in our results of operations for at least 12 months. We use case count as the volume measurement in our specialty product category and pounds sold as the volume measurement in our center-of-the-plate category.</w:t>
      </w:r>
    </w:p>
    <w:p>
      <w:pPr>
        <w:spacing w:after="0" w:line="200" w:lineRule="exact"/>
        <w:rPr>
          <w:rFonts w:ascii="Times New Roman" w:cs="Times New Roman" w:eastAsia="Times New Roman" w:hAnsi="Times New Roman"/>
          <w:sz w:val="18"/>
          <w:szCs w:val="18"/>
          <w:color w:val="auto"/>
        </w:rPr>
      </w:pPr>
    </w:p>
    <w:p>
      <w:pPr>
        <w:ind w:left="50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Case count. </w:t>
      </w:r>
      <w:r>
        <w:rPr>
          <w:rFonts w:ascii="Times New Roman" w:cs="Times New Roman" w:eastAsia="Times New Roman" w:hAnsi="Times New Roman"/>
          <w:sz w:val="18"/>
          <w:szCs w:val="18"/>
          <w:color w:val="auto"/>
        </w:rPr>
        <w:t>Case count represents the volume of specialty products sold to customers during a given time period. Case growth is calculated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the change in case volumes sold by the number of cases sold in the prior period. We define a case as the lowest level of packaged products as received from our suppliers, with one case containing several individually packaged units of the same product. Where individual packaged units are sold separately, case volume is calculated using the case equivalent quantity sold.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Pounds sold. </w:t>
      </w:r>
      <w:r>
        <w:rPr>
          <w:rFonts w:ascii="Times New Roman" w:cs="Times New Roman" w:eastAsia="Times New Roman" w:hAnsi="Times New Roman"/>
          <w:sz w:val="18"/>
          <w:szCs w:val="18"/>
          <w:color w:val="auto"/>
        </w:rPr>
        <w:t>Pounds represent the volume of center-of-the-plate products sold to customers during a given time period. Pounds growth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dividing the change in pound volumes sold by the number of pounds sold in the prior period.</w:t>
      </w:r>
    </w:p>
    <w:p>
      <w:pPr>
        <w:spacing w:after="0" w:line="185" w:lineRule="exact"/>
        <w:rPr>
          <w:sz w:val="20"/>
          <w:szCs w:val="20"/>
          <w:color w:val="auto"/>
        </w:rPr>
      </w:pPr>
    </w:p>
    <w:p>
      <w:pPr>
        <w:ind w:left="500" w:hanging="330"/>
        <w:spacing w:after="0" w:line="25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Performance Indicators. </w:t>
      </w:r>
      <w:r>
        <w:rPr>
          <w:rFonts w:ascii="Times New Roman" w:cs="Times New Roman" w:eastAsia="Times New Roman" w:hAnsi="Times New Roman"/>
          <w:sz w:val="18"/>
          <w:szCs w:val="18"/>
          <w:color w:val="auto"/>
        </w:rPr>
        <w:t>While case count is used for the volume measurement in the specialty category, we also disclose changes in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customers and specialty placements to provide additional context to our results and to the performance of our business. We define unique customers as the number of customers who purchase product in a given week. Each customer, regardless of the number of deliveries made during the week, is counted only once. Placements is the sum of the unique stock-keeping units (“SKUs”) sold per customer, also in a given week. Our customer count and placements measures are subject to adjustments for acquisitions, consolidations, spin-offs, and other market activity, and we present these measures for historical periods reflecting these adjustments.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5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7"/>
          <w:szCs w:val="17"/>
          <w:color w:val="auto"/>
        </w:rPr>
        <w:t>n October 1, 2025, we entered into an asset purchase agreement to acquire substantially all of the assets of Italco Food Products, a premier specialty food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distributor based in Denver, Colorado. The purchase price was $16,500, consisting of $5,500 cash paid at closing and $11,000 from the issuance of an unsecured note and is subject to customary working capital true-ups. The assets acquired consist primarily of inventory, accounts receivable and goodwill and other intangibles and are not material to the Company’s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4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60" w:type="dxa"/>
            <w:vAlign w:val="bottom"/>
          </w:tcPr>
          <w:p>
            <w:pPr>
              <w:spacing w:after="0"/>
              <w:rPr>
                <w:sz w:val="22"/>
                <w:szCs w:val="22"/>
                <w:color w:val="auto"/>
              </w:rPr>
            </w:pPr>
          </w:p>
        </w:tc>
        <w:tc>
          <w:tcPr>
            <w:tcW w:w="29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120" w:type="dxa"/>
            <w:vAlign w:val="bottom"/>
          </w:tcPr>
          <w:p>
            <w:pPr>
              <w:spacing w:after="0"/>
              <w:rPr>
                <w:sz w:val="19"/>
                <w:szCs w:val="19"/>
                <w:color w:val="auto"/>
              </w:rPr>
            </w:pPr>
          </w:p>
        </w:tc>
        <w:tc>
          <w:tcPr>
            <w:tcW w:w="16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 2024</w:t>
            </w: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931,452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2,760,644</w:t>
            </w:r>
          </w:p>
        </w:tc>
      </w:tr>
      <w:tr>
        <w:trPr>
          <w:trHeight w:val="229"/>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2,097,458</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663,186</w:t>
            </w: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578,049</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 (income), net</w:t>
            </w: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2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81,752</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31,553</w:t>
            </w: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Thirteen Weeks Ended September 26, 2025 Compared to Thirteen Weeks Ended September 27, 2024</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5480" w:type="dxa"/>
            <w:vAlign w:val="bottom"/>
            <w:gridSpan w:val="2"/>
          </w:tcPr>
          <w:p>
            <w:pPr>
              <w:jc w:val="right"/>
              <w:ind w:right="4690"/>
              <w:spacing w:after="0"/>
              <w:rPr>
                <w:sz w:val="20"/>
                <w:szCs w:val="20"/>
                <w:color w:val="auto"/>
              </w:rPr>
            </w:pPr>
            <w:r>
              <w:rPr>
                <w:rFonts w:ascii="Times New Roman" w:cs="Times New Roman" w:eastAsia="Times New Roman" w:hAnsi="Times New Roman"/>
                <w:sz w:val="18"/>
                <w:szCs w:val="18"/>
                <w:b w:val="1"/>
                <w:bCs w:val="1"/>
                <w:i w:val="1"/>
                <w:iCs w:val="1"/>
                <w:color w:val="auto"/>
                <w:w w:val="97"/>
              </w:rPr>
              <w:t>Net Sales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5440" w:type="dxa"/>
            <w:vAlign w:val="bottom"/>
            <w:tcBorders>
              <w:top w:val="single" w:sz="8" w:color="CCEEFF"/>
            </w:tcBorders>
            <w:shd w:val="clear" w:color="auto" w:fill="CCEEFF"/>
          </w:tcPr>
          <w:p>
            <w:pPr>
              <w:jc w:val="right"/>
              <w:ind w:right="4690"/>
              <w:spacing w:after="0"/>
              <w:rPr>
                <w:sz w:val="20"/>
                <w:szCs w:val="20"/>
                <w:color w:val="auto"/>
              </w:rPr>
            </w:pPr>
            <w:r>
              <w:rPr>
                <w:rFonts w:ascii="Times New Roman" w:cs="Times New Roman" w:eastAsia="Times New Roman" w:hAnsi="Times New Roman"/>
                <w:sz w:val="18"/>
                <w:szCs w:val="18"/>
                <w:color w:val="auto"/>
                <w:w w:val="97"/>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due to organic growth. Case count increased approximately 3.2% in our specialty category, representing an increase in net sales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$18.6 million. In addition, unique customers and placements in our specialty category increased 2.6% and 5.3%, respectively, compared to the prior year quarter. Pounds sold in our center-of-the-plate category decreased 1.1% compared to the prior year quarter, representing a decrease in net sales of $4.0 million, primarily due to our exit from a non-core commodity poultry program in fiscal 2025. Estimated inflation increased sales by $25.7 million, or 4.4% in our specialty category and by $42.8 million, or 12.3% in our center-of-the-plate category compared to the prior year quarter.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247,191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224,748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4"/>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dollars increased $21.7 million as a result of sales growth which includes inflation, with the remainder of the increase primarily due to improved gross profit margin rates. Gross profit margin increased approximately 7 basis points due to improved inventory management and favorable production cost leverage. Gross profit margins increased 59 basis points in the Company’s specialty category, or $3.7 million, and decreased 49 basis points in the Company’s center-of-the-plate category, or $1.9 million, compared to the prior year quarter.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208,125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192,894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4"/>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9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was primarily due to higher costs associated with compensation and benefits to support sales growth, higher depreciation expense driven by facility and fleet investments and higher self-insurance expense. Our ratio of selling, general and administrative expenses to net sales decreased 30 basis points due to improved fixed cost leverage.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(Income), Net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 (income),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(income), net increased by $0.2 million primarily due to higher third-party deal costs.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2"/>
          </w:tcPr>
          <w:p>
            <w:pPr>
              <w:jc w:val="right"/>
              <w:ind w:right="4110"/>
              <w:spacing w:after="0"/>
              <w:rPr>
                <w:sz w:val="20"/>
                <w:szCs w:val="20"/>
                <w:color w:val="auto"/>
              </w:rPr>
            </w:pPr>
            <w:r>
              <w:rPr>
                <w:rFonts w:ascii="Times New Roman" w:cs="Times New Roman" w:eastAsia="Times New Roman" w:hAnsi="Times New Roman"/>
                <w:sz w:val="18"/>
                <w:szCs w:val="18"/>
                <w:b w:val="1"/>
                <w:bCs w:val="1"/>
                <w:i w:val="1"/>
                <w:iCs w:val="1"/>
                <w:color w:val="auto"/>
                <w:w w:val="99"/>
              </w:rPr>
              <w:t>Interest Expense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jc w:val="right"/>
              <w:ind w:right="411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3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decreased primarily due to lower aggregate principal amounts of debt outstanding and lower interest rates in the current quarter compared to the prior year quarter.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 Expense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r>
      <w:tr>
        <w:trPr>
          <w:trHeight w:val="234"/>
        </w:trPr>
        <w:tc>
          <w:tcPr>
            <w:tcW w:w="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32.6% and 30.0% for the thirteen weeks ended September 26, 2025 and September 27, 2024, respectively. The effective tax rate for the thirteen weeks ended September 26, 2025 reflects the annual effective tax rate estimated for the full fiscal year and includes a discrete charge related to a return to provision adjustment on the 2024 tax return.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September 26, 2025 Compared to Thirty-Nine Weeks Ended September 27,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2"/>
          </w:tcPr>
          <w:p>
            <w:pPr>
              <w:jc w:val="right"/>
              <w:ind w:right="4690"/>
              <w:spacing w:after="0"/>
              <w:rPr>
                <w:sz w:val="20"/>
                <w:szCs w:val="20"/>
                <w:color w:val="auto"/>
              </w:rPr>
            </w:pPr>
            <w:r>
              <w:rPr>
                <w:rFonts w:ascii="Times New Roman" w:cs="Times New Roman" w:eastAsia="Times New Roman" w:hAnsi="Times New Roman"/>
                <w:sz w:val="18"/>
                <w:szCs w:val="18"/>
                <w:b w:val="1"/>
                <w:bCs w:val="1"/>
                <w:i w:val="1"/>
                <w:iCs w:val="1"/>
                <w:color w:val="auto"/>
                <w:w w:val="97"/>
              </w:rPr>
              <w:t>Net Sales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5440" w:type="dxa"/>
            <w:vAlign w:val="bottom"/>
            <w:tcBorders>
              <w:top w:val="single" w:sz="8" w:color="CCEEFF"/>
            </w:tcBorders>
            <w:shd w:val="clear" w:color="auto" w:fill="CCEEFF"/>
          </w:tcPr>
          <w:p>
            <w:pPr>
              <w:jc w:val="right"/>
              <w:ind w:right="4690"/>
              <w:spacing w:after="0"/>
              <w:rPr>
                <w:sz w:val="20"/>
                <w:szCs w:val="20"/>
                <w:color w:val="auto"/>
              </w:rPr>
            </w:pPr>
            <w:r>
              <w:rPr>
                <w:rFonts w:ascii="Times New Roman" w:cs="Times New Roman" w:eastAsia="Times New Roman" w:hAnsi="Times New Roman"/>
                <w:sz w:val="18"/>
                <w:szCs w:val="18"/>
                <w:color w:val="auto"/>
                <w:w w:val="97"/>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due to organic growth. Case count increased approximately 4.1% in our specialty category, representing an increase in net sales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$69.6 million. In addition, unique customers and placements in our specialty category increased 3.6% and 7.2%, respectively, compared to the prior year period. Pounds sold in our center-of-the-plate category decreased 2.2% compared to the prior year period, representing a decrease in net sales of $22.9 million, primarily due to our exit from a non-core commodity poultry program in fiscal 2025. Estimated inflation increased sales by $80.6 million, or 4.7%, in our specialty category and by $102.5 million, or 9.7%, in our center-of-the-plate category compared to the prior year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7"/>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727,525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663,186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4"/>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Gross profit dollars increased $59.2 million as a result of sales growth which includes inflation, with the remainder of the increase primarily due to improved gross profit margin rates. Gross profit margin increased approximately 17 basis points due to improved inventory management and favorable production cost leverage. Gross profit margins increased 42 basis points in the Company’s specialty category, or $7.8 million, and decreased 24 basis points in the Company’s center-of-the-plate category, or $2.8 million, compared to the prior year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7"/>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624,638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578,049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4"/>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1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was primarily due to higher costs associated with compensation and benefits to support sales growth, higher depreciation expense driven by facility and fleet investments and higher self-insurance expense. Our ratio of selling, general and administrative expenses to net sales decreased 10 basis points due to sales growth combined with certain benefits derived from our investments in our facility and distribution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2"/>
          </w:tcPr>
          <w:p>
            <w:pPr>
              <w:jc w:val="center"/>
              <w:ind w:right="3070"/>
              <w:spacing w:after="0"/>
              <w:rPr>
                <w:sz w:val="20"/>
                <w:szCs w:val="20"/>
                <w:color w:val="auto"/>
              </w:rPr>
            </w:pPr>
            <w:r>
              <w:rPr>
                <w:rFonts w:ascii="Times New Roman" w:cs="Times New Roman" w:eastAsia="Times New Roman" w:hAnsi="Times New Roman"/>
                <w:sz w:val="18"/>
                <w:szCs w:val="18"/>
                <w:b w:val="1"/>
                <w:bCs w:val="1"/>
                <w:i w:val="1"/>
                <w:iCs w:val="1"/>
                <w:color w:val="auto"/>
                <w:w w:val="99"/>
              </w:rPr>
              <w:t>Other Operating Expenses, Net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jc w:val="center"/>
              <w:ind w:right="317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decrease in other operating expense, net was primarily due to lower employee severance charges during the thirty-nine weeks ended September 26, 2025 compared to the prior year period, and non-cash credits of $0.7 million for changes in the fair value of our contingent earn-out liabilities in the prior year period.</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460" w:type="dxa"/>
            <w:vAlign w:val="bottom"/>
            <w:gridSpan w:val="2"/>
          </w:tcPr>
          <w:p>
            <w:pPr>
              <w:jc w:val="right"/>
              <w:ind w:right="4110"/>
              <w:spacing w:after="0"/>
              <w:rPr>
                <w:sz w:val="20"/>
                <w:szCs w:val="20"/>
                <w:color w:val="auto"/>
              </w:rPr>
            </w:pPr>
            <w:r>
              <w:rPr>
                <w:rFonts w:ascii="Times New Roman" w:cs="Times New Roman" w:eastAsia="Times New Roman" w:hAnsi="Times New Roman"/>
                <w:sz w:val="18"/>
                <w:szCs w:val="18"/>
                <w:b w:val="1"/>
                <w:bCs w:val="1"/>
                <w:i w:val="1"/>
                <w:iCs w:val="1"/>
                <w:color w:val="auto"/>
                <w:w w:val="99"/>
              </w:rPr>
              <w:t>Interest Expense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jc w:val="right"/>
              <w:ind w:right="411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decreased primarily due to lower aggregate principal amounts of debt outstanding and lower interest rates in the current period compared to the prior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19,707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r>
      <w:tr>
        <w:trPr>
          <w:trHeight w:val="234"/>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The Company’s effective tax rate was 28.0% and 30.0% for the thirty-nine weeks ended September 26, 2025 and September 27, 2024, respectively. The effective tax rate for the thirty-nine weeks ended September 26, 2025 reflects the annual effective tax rate estimated for the full fiscal year, adjusted for discrete items related to a tax benefit from the vesting of stock awards during the period, partially offset by a discrete charge related to a return to provision adjustment on the 2024 tax return.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finance our day-to-day operations and growth primarily with cash flows from operations, borrowings under our senior secured credit facilities and other indebtedness, operating leases, trade payables and equity financing.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our indebtedness: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27, 2024</w:t>
            </w:r>
          </w:p>
        </w:tc>
      </w:tr>
      <w:tr>
        <w:trPr>
          <w:trHeight w:val="223"/>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 on asset-based loan facility</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34"/>
        </w:trPr>
        <w:tc>
          <w:tcPr>
            <w:tcW w:w="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4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On October 1, 2025, subsequent to our fiscal quarter end, we issued an $11.0 million unsecured note in connection with the acquisition of substantially all of the assets of Italco Food Products. The Company also paid $5.5 million cash at closing. The acquisition was not material to our consolidated financial statements.</w:t>
      </w:r>
    </w:p>
    <w:p>
      <w:pPr>
        <w:spacing w:after="0" w:line="21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 xml:space="preserve">On August 20, 2025, we entered into an amendment (“Eighth Amendment”) to our asset-based loan (the “ABL”) credit agreement, which extended the maturity date to August 20, 2030, eliminated the credit spread adjustment to the interest rate charged on borrowings and increased the aggregate letters of credit. There were no changes to the aggregate commitments of $300,000. The Eighth Amendment to the ABL was accounted for as a debt modification. We incurred transaction costs of $658, which were capitalized as deferred financing fees to be amortized over the term of the ABL, and are presented in </w:t>
      </w:r>
      <w:r>
        <w:rPr>
          <w:rFonts w:ascii="Times New Roman" w:cs="Times New Roman" w:eastAsia="Times New Roman" w:hAnsi="Times New Roman"/>
          <w:sz w:val="18"/>
          <w:szCs w:val="18"/>
          <w:i w:val="1"/>
          <w:iCs w:val="1"/>
          <w:color w:val="auto"/>
        </w:rPr>
        <w:t xml:space="preserve">other non-current assets </w:t>
      </w:r>
      <w:r>
        <w:rPr>
          <w:rFonts w:ascii="Times New Roman" w:cs="Times New Roman" w:eastAsia="Times New Roman" w:hAnsi="Times New Roman"/>
          <w:sz w:val="18"/>
          <w:szCs w:val="18"/>
          <w:color w:val="auto"/>
        </w:rPr>
        <w:t>in our condensed consolidated balance sheet.</w:t>
      </w:r>
    </w:p>
    <w:p>
      <w:pPr>
        <w:spacing w:after="0" w:line="21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June 2025, we entered into an amendment to our senior secured term loan agreement, which reduced the interest rate spread by 50 basis points on our senior secured term loan facility. Additionally, during the thirty-nine weeks ended September 26, 2025 and September 27, 2024, we made voluntary principal prepayments of $5.0 million and $12.0 million, respectively, towards the senior secured term loan.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GreenLeaf Note matured on April 20, 2025, and we made the final principal payment of $5.0 million during the thirty-nine weeks ended September 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Previously, we made a scheduled principal payment of $5.0 million towards the GreenLeaf Note during the thirty-nine weeks ended September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GreenLeaf Note is presented at December 27, 2024 under the caption “Finance leases and other financing obligations” in the table above.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2" w:name="page23"/>
    <w:bookmarkEnd w:id="22"/>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we announced a two-year share repurchase program in an amount up to $100.0 million, targeting $25.0 million to $100.0 million of share repurchases by the end of fiscal 2025. During the thirty-nine weeks ended September 26, 2025, we repurchased 241,198 shares of our common stock at an average purchase price of $62.19 per share. During the thirty-nine weeks ended September 27, 2024, we repurchased 264,076 shares of our common stock at an average purchase price of $37.86 per share. The share repurchases were funded by our available cash. The remaining share purchase authorization was $67.6 million at September 26, 2025. We are not obligated to repurchase any specific number of shares and may suspend or discontinue the program at any time.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liquidity:</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27, 2024</w:t>
            </w:r>
          </w:p>
        </w:tc>
      </w:tr>
      <w:tr>
        <w:trPr>
          <w:trHeight w:val="223"/>
        </w:trPr>
        <w:tc>
          <w:tcPr>
            <w:tcW w:w="40" w:type="dxa"/>
            <w:vAlign w:val="bottom"/>
          </w:tcPr>
          <w:p>
            <w:pPr>
              <w:spacing w:after="0"/>
              <w:rPr>
                <w:sz w:val="19"/>
                <w:szCs w:val="19"/>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r>
      <w:tr>
        <w:trPr>
          <w:trHeight w:val="230"/>
        </w:trPr>
        <w:tc>
          <w:tcPr>
            <w:tcW w:w="40" w:type="dxa"/>
            <w:vAlign w:val="bottom"/>
          </w:tcPr>
          <w:p>
            <w:pPr>
              <w:spacing w:after="0"/>
              <w:rPr>
                <w:sz w:val="19"/>
                <w:szCs w:val="19"/>
                <w:color w:val="auto"/>
              </w:rPr>
            </w:pPr>
          </w:p>
        </w:tc>
        <w:tc>
          <w:tcPr>
            <w:tcW w:w="71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excluding cash and cash equivalents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327,992</w:t>
            </w:r>
          </w:p>
        </w:tc>
      </w:tr>
      <w:tr>
        <w:trPr>
          <w:trHeight w:val="229"/>
        </w:trPr>
        <w:tc>
          <w:tcPr>
            <w:tcW w:w="4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under asset-based loan facility</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146,674</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 define working capital as current assets less current liabilities.</w:t>
      </w:r>
    </w:p>
    <w:p>
      <w:pPr>
        <w:spacing w:after="0" w:line="19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expect our capital expenditures, excluding cash paid for acquisitions, for fiscal 2025 will be approximately $40.0 million to $50.0 million. We believe our existing balances of cash and cash equivalents, working capital and the availability under our asset-based loan facility, are sufficient to satisfy our working capital needs, capital expenditures, debt service and other liquidity requirements associated with our current operations over the next twelve months.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cash flows: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60" w:type="dxa"/>
            <w:vAlign w:val="bottom"/>
          </w:tcPr>
          <w:p>
            <w:pPr>
              <w:spacing w:after="0"/>
              <w:rPr>
                <w:sz w:val="19"/>
                <w:szCs w:val="19"/>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 2024</w:t>
            </w:r>
          </w:p>
        </w:tc>
      </w:tr>
      <w:tr>
        <w:trPr>
          <w:trHeight w:val="223"/>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55,352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80,057</w:t>
            </w: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7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(33,340)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(41,446)</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(71,589)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(37,826)</w:t>
            </w:r>
          </w:p>
        </w:tc>
      </w:tr>
    </w:tbl>
    <w:p>
      <w:pPr>
        <w:spacing w:after="0" w:line="3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cash provided by operating activities is predominately driven by net sales to our customers. Our cash used in operating activities is primarily driven by our payments to suppliers for our inventory, employee compensation, payments to support our facilities, our distribution network, interest on our indebtedness, payments to tax authorities and other general corporate expenditures. Net cash provided by operations was $55.4 million for the thirty-nine weeks ended September 26, 2025 compared to $80.1 million for the thirty-nine weeks ended September 27, 2024. The decrease in cash provided by operating activities was primarily due to timing of payments and a strategic pull-forward of certain inventory purchases, partially offset by sales growth.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$33.3 million for the thirty-nine weeks ended September 26, 2025, driven by capital expenditures.</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$71.6 million for the thirty-nine weeks ended September 26, 2025 driven by $20.0 million of payments under our revolving credit facilities, $12.3 million of payments of term loan debt, $11.8 million paid for shares surrendered to pay tax withholding related to the vesting of equity incentive plan awards, $15.0 million used to repurchase our common stock and $11.8 million of finance lease payments.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Information related to new accounting guidance is included in Note 1 “Operations and Basis of Presentation” to our condensed consolidated financial statements in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exposure to interest rate market risk relates primarily to our long-term debt. As of September 26, 2025, we had aggregate indebtedness outstanding of $352.8 million that bore interest at variable rates. A 100 basis point increase in market interest rates would decrease our after-tax earnings by approximately $2.5 million per annum, holding other variables constant.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the Chief Financial Officer concluded that the Company's disclosure controls and procedures were effective as of September 26,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26, 2025 that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involved in legal proceedings, claims and litigation arising out of the ordinary conduct of our business. Although we cannot assure the outcome, management presently believes that the result of such legal proceedings, either individually or in the aggregate, will not have a material adverse effect on our condensed consolidated financial statements, and no material amounts have been accrued in our condensed consolidated financial statements with respect to these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previously disclosed in Part I, Item 1A. included in our Annual Report on Form 10-K for the year ended December 27, 2024. In addition to the information contained herein, you should consider the risk factors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45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24"/>
                <w:szCs w:val="24"/>
                <w:color w:val="auto"/>
              </w:rPr>
            </w:pP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20" w:type="dxa"/>
            <w:vAlign w:val="bottom"/>
          </w:tcPr>
          <w:p>
            <w:pPr>
              <w:spacing w:after="0"/>
              <w:rPr>
                <w:sz w:val="15"/>
                <w:szCs w:val="15"/>
                <w:color w:val="auto"/>
              </w:rPr>
            </w:pPr>
          </w:p>
        </w:tc>
        <w:tc>
          <w:tcPr>
            <w:tcW w:w="270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220" w:type="dxa"/>
            <w:vAlign w:val="bottom"/>
          </w:tcPr>
          <w:p>
            <w:pPr>
              <w:spacing w:after="0"/>
              <w:rPr>
                <w:sz w:val="16"/>
                <w:szCs w:val="16"/>
                <w:color w:val="auto"/>
              </w:rPr>
            </w:pPr>
          </w:p>
        </w:tc>
        <w:tc>
          <w:tcPr>
            <w:tcW w:w="27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Publicly</w:t>
            </w:r>
          </w:p>
        </w:tc>
        <w:tc>
          <w:tcPr>
            <w:tcW w:w="220" w:type="dxa"/>
            <w:vAlign w:val="bottom"/>
          </w:tcPr>
          <w:p>
            <w:pPr>
              <w:spacing w:after="0"/>
              <w:rPr>
                <w:sz w:val="15"/>
                <w:szCs w:val="15"/>
                <w:color w:val="auto"/>
              </w:rPr>
            </w:pPr>
          </w:p>
        </w:tc>
        <w:tc>
          <w:tcPr>
            <w:tcW w:w="27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 Per</w:t>
            </w:r>
          </w:p>
        </w:tc>
        <w:tc>
          <w:tcPr>
            <w:tcW w:w="18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20" w:type="dxa"/>
            <w:vAlign w:val="bottom"/>
          </w:tcPr>
          <w:p>
            <w:pPr>
              <w:spacing w:after="0"/>
              <w:rPr>
                <w:sz w:val="16"/>
                <w:szCs w:val="16"/>
                <w:color w:val="auto"/>
              </w:rPr>
            </w:pPr>
          </w:p>
        </w:tc>
        <w:tc>
          <w:tcPr>
            <w:tcW w:w="270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5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b w:val="1"/>
                <w:bCs w:val="1"/>
                <w:color w:val="auto"/>
                <w:w w:val="95"/>
              </w:rPr>
              <w:t>Repurchased</w:t>
            </w:r>
            <w:r>
              <w:rPr>
                <w:rFonts w:ascii="Times New Roman" w:cs="Times New Roman" w:eastAsia="Times New Roman" w:hAnsi="Times New Roman"/>
                <w:sz w:val="23"/>
                <w:szCs w:val="23"/>
                <w:b w:val="1"/>
                <w:bCs w:val="1"/>
                <w:color w:val="auto"/>
                <w:w w:val="95"/>
                <w:vertAlign w:val="superscript"/>
              </w:rPr>
              <w:t>(1)</w:t>
            </w: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Pr>
          <w:p>
            <w:pPr>
              <w:spacing w:after="0"/>
              <w:rPr>
                <w:sz w:val="19"/>
                <w:szCs w:val="19"/>
                <w:color w:val="auto"/>
              </w:rPr>
            </w:pPr>
          </w:p>
        </w:tc>
        <w:tc>
          <w:tcPr>
            <w:tcW w:w="2700" w:type="dxa"/>
            <w:vAlign w:val="bottom"/>
          </w:tcPr>
          <w:p>
            <w:pPr>
              <w:jc w:val="center"/>
              <w:ind w:right="130"/>
              <w:spacing w:after="0" w:line="230" w:lineRule="exact"/>
              <w:rPr>
                <w:sz w:val="20"/>
                <w:szCs w:val="20"/>
                <w:color w:val="auto"/>
              </w:rPr>
            </w:pPr>
            <w:r>
              <w:rPr>
                <w:rFonts w:ascii="Times New Roman" w:cs="Times New Roman" w:eastAsia="Times New Roman" w:hAnsi="Times New Roman"/>
                <w:sz w:val="18"/>
                <w:szCs w:val="18"/>
                <w:b w:val="1"/>
                <w:bCs w:val="1"/>
                <w:color w:val="auto"/>
                <w:w w:val="97"/>
              </w:rPr>
              <w:t>or Programs (in thousands)</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28, 2025 to July 25,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2025 to August 22,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23, 2025 to September 26, 2025</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0" w:type="dxa"/>
            <w:vAlign w:val="bottom"/>
          </w:tcPr>
          <w:p>
            <w:pPr>
              <w:spacing w:after="0"/>
              <w:rPr>
                <w:sz w:val="1"/>
                <w:szCs w:val="1"/>
                <w:color w:val="auto"/>
              </w:rPr>
            </w:pPr>
          </w:p>
        </w:tc>
      </w:tr>
      <w:tr>
        <w:trPr>
          <w:trHeight w:val="223"/>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332"/>
        <w:spacing w:after="0"/>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common stock withheld during the thirteen weeks ended September 26, 2025 to satisfy tax withholding requirements related to restricted shares of our common stock awarded to our officers and key employees resulting from either elections under 83(b) of the Internal Revenue Code of 1986, as amended, or upon vesting of such awards, in addition to shares purchased as part of a publicly announced program included in column 3.</w:t>
      </w:r>
    </w:p>
    <w:p>
      <w:pPr>
        <w:ind w:left="340" w:right="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we announced a two-year share repurchase program in an amount up to $100.0 million targeting $25.0 million to $100.0 million of share repurchases by the end of fiscal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During the quarter covered by this report, none of our directors and officers (as defined in Rule 16a-1(f) of the Securities Exchange Act, of 1934, as amended) adopted, terminated or modified any contract, instruction or written plan for the purchase or sale of our common stock that was intended to satisfy the affirmative defense conditions of Exchange Act Rule 10b5-1(c) or any non-Rule 10b5-1 trading arrangement (as defined in Item 408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ITEM 6. EXHIBITS</w:t>
            </w:r>
          </w:p>
        </w:tc>
        <w:tc>
          <w:tcPr>
            <w:tcW w:w="93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453"/>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 File because its XBRL tags are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68"/>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1600" w:hanging="1574"/>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87" w:right="69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October 29, 2025.</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CHEFS’ WAREHOUSE, INC.</w:t>
            </w:r>
          </w:p>
        </w:tc>
      </w:tr>
      <w:tr>
        <w:trPr>
          <w:trHeight w:val="238"/>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60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Leddy</w:t>
            </w:r>
          </w:p>
        </w:tc>
      </w:tr>
      <w:tr>
        <w:trPr>
          <w:trHeight w:val="229"/>
        </w:trPr>
        <w:tc>
          <w:tcPr>
            <w:tcW w:w="60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McCauley</w:t>
            </w:r>
          </w:p>
        </w:tc>
      </w:tr>
      <w:tr>
        <w:trPr>
          <w:trHeight w:val="218"/>
        </w:trPr>
        <w:tc>
          <w:tcPr>
            <w:tcW w:w="60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McCauley</w:t>
            </w:r>
          </w:p>
        </w:tc>
      </w:tr>
      <w:tr>
        <w:trPr>
          <w:trHeight w:val="229"/>
        </w:trPr>
        <w:tc>
          <w:tcPr>
            <w:tcW w:w="60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035" w:right="35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Pappas, certify that:</w:t>
      </w:r>
    </w:p>
    <w:p>
      <w:pPr>
        <w:spacing w:after="0" w:line="14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Chefs’ Warehouse, Inc.;</w:t>
      </w:r>
    </w:p>
    <w:p>
      <w:pPr>
        <w:spacing w:after="0" w:line="157"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9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spacing w:after="0" w:line="10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140" w:hanging="644"/>
        <w:spacing w:after="0" w:line="312" w:lineRule="auto"/>
        <w:tabs>
          <w:tab w:leader="none" w:pos="96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8"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18"/>
        </w:trPr>
        <w:tc>
          <w:tcPr>
            <w:tcW w:w="558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Leddy, certify that:</w:t>
      </w:r>
    </w:p>
    <w:p>
      <w:pPr>
        <w:spacing w:after="0" w:line="144"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Chefs’ Warehouse, Inc.;</w:t>
      </w:r>
    </w:p>
    <w:p>
      <w:pPr>
        <w:spacing w:after="0" w:line="157"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9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spacing w:after="0" w:line="10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140" w:hanging="644"/>
        <w:spacing w:after="0" w:line="312" w:lineRule="auto"/>
        <w:tabs>
          <w:tab w:leader="none" w:pos="96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8"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558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James Leddy</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Chefs’ Warehouse, Inc. (the “Company”) on Form 10-Q for the quarter ended September 26, 2025, as filed with the Securities and Exchange Commission on the date hereof (the “Report”), I, Christopher Pappas, President and Chief Executive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18"/>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Chefs’ Warehouse, Inc. (the “Company”) on Form 10-Q for the quarter ended September 26, 2025, as filed with the Securities and Exchange Commission on the date hereof (the “Report”), I, James Leddy, Chief Financial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James Leddy</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2025-10-29T06:46:50Z</dcterms:created>
  <dcterms:modified xsi:type="dcterms:W3CDTF">2025-10-29T06:46:50Z</dcterms:modified>
</cp:coreProperties>
</file>