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6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16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26, 2026 </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160"/>
        <w:jc w:val="center"/>
        <w:rPr>
          <w:rFonts w:ascii="Times New Roman;serif" w:hAnsi="Times New Roman;serif"/>
          <w:b/>
          <w:color w:val="000000"/>
          <w:sz w:val="20"/>
        </w:rPr>
      </w:pPr>
      <w:r>
        <w:rPr>
          <w:rFonts w:ascii="Times New Roman;serif" w:hAnsi="Times New Roman;serif"/>
          <w:b/>
          <w:color w:val="000000"/>
          <w:sz w:val="20"/>
        </w:rPr>
        <w:t>For the transition period from _________ to _________</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xml:space="preserve">Commission file number: 001-35249 </w:t>
      </w:r>
    </w:p>
    <w:p>
      <w:pPr>
        <w:pStyle w:val="TextBody"/>
        <w:bidi w:val="0"/>
        <w:spacing w:before="0" w:after="160"/>
        <w:jc w:val="center"/>
        <w:rPr/>
      </w:pPr>
      <w:r>
        <w:rPr/>
        <w:drawing>
          <wp:inline distT="0" distB="0" distL="0" distR="0">
            <wp:extent cx="18288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6381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THE CHEFS’ WAREHOUSE, INC. </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747" w:type="dxa"/>
        <w:jc w:val="center"/>
        <w:tblInd w:w="0" w:type="dxa"/>
        <w:tblLayout w:type="fixed"/>
        <w:tblCellMar>
          <w:top w:w="28" w:type="dxa"/>
          <w:left w:w="28" w:type="dxa"/>
          <w:bottom w:w="28" w:type="dxa"/>
          <w:right w:w="28" w:type="dxa"/>
        </w:tblCellMar>
      </w:tblPr>
      <w:tblGrid>
        <w:gridCol w:w="340"/>
        <w:gridCol w:w="298"/>
        <w:gridCol w:w="298"/>
        <w:gridCol w:w="298"/>
        <w:gridCol w:w="298"/>
        <w:gridCol w:w="298"/>
        <w:gridCol w:w="298"/>
        <w:gridCol w:w="298"/>
        <w:gridCol w:w="315"/>
        <w:gridCol w:w="109"/>
        <w:gridCol w:w="109"/>
        <w:gridCol w:w="109"/>
        <w:gridCol w:w="490"/>
        <w:gridCol w:w="490"/>
        <w:gridCol w:w="699"/>
      </w:tblGrid>
      <w:tr>
        <w:trPr/>
        <w:tc>
          <w:tcPr>
            <w:tcW w:w="3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20-3031526</w:t>
            </w:r>
          </w:p>
        </w:tc>
      </w:tr>
      <w:tr>
        <w:trPr/>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100 East Ridge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Ridgefield, Connecticut 06877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(203) 894-1345 </w:t>
      </w:r>
    </w:p>
    <w:p>
      <w:pPr>
        <w:pStyle w:val="TextBody"/>
        <w:bidi w:val="0"/>
        <w:spacing w:before="0" w:after="0"/>
        <w:jc w:val="center"/>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left"/>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CHEF</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6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160"/>
        <w:jc w:val="both"/>
        <w:rPr/>
      </w:pPr>
      <w:r>
        <w:rPr>
          <w:rFonts w:ascii="Times New Roman;serif" w:hAnsi="Times New Roman;serif"/>
          <w:b w:val="false"/>
          <w:color w:val="000000"/>
          <w:sz w:val="20"/>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16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Number of shares of common stock, par value $.01 per share, outstanding at July 24, 2026: 40,796,083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82"/>
        <w:gridCol w:w="510"/>
        <w:gridCol w:w="510"/>
        <w:gridCol w:w="2372"/>
        <w:gridCol w:w="2325"/>
        <w:gridCol w:w="2352"/>
        <w:gridCol w:w="175"/>
        <w:gridCol w:w="175"/>
        <w:gridCol w:w="176"/>
        <w:gridCol w:w="109"/>
        <w:gridCol w:w="109"/>
        <w:gridCol w:w="109"/>
        <w:gridCol w:w="109"/>
        <w:gridCol w:w="109"/>
        <w:gridCol w:w="109"/>
        <w:gridCol w:w="109"/>
        <w:gridCol w:w="109"/>
        <w:gridCol w:w="156"/>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6">
              <w:r>
                <w:rPr>
                  <w:rStyle w:val="InternetLink"/>
                  <w:rFonts w:ascii="Times New Roman;serif" w:hAnsi="Times New Roman;serif"/>
                  <w:b w:val="false"/>
                  <w:color w:val="0000FF"/>
                  <w:sz w:val="20"/>
                  <w:u w:val="single"/>
                </w:rPr>
                <w:t>Condensed Consolidated Financial Statements (unaudited):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6">
              <w:r>
                <w:rPr>
                  <w:rStyle w:val="InternetLink"/>
                  <w:rFonts w:ascii="Times New Roman;serif" w:hAnsi="Times New Roman;serif"/>
                  <w:b w:val="false"/>
                  <w:strike w:val="false"/>
                  <w:dstrike w:val="false"/>
                  <w:color w:val="0000FF"/>
                  <w:sz w:val="20"/>
                  <w:u w:val="none"/>
                  <w:effect w:val="non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9">
              <w:r>
                <w:rPr>
                  <w:rStyle w:val="InternetLink"/>
                  <w:rFonts w:ascii="Times New Roman;serif" w:hAnsi="Times New Roman;serif"/>
                  <w:b w:val="false"/>
                  <w:color w:val="0000FF"/>
                  <w:sz w:val="20"/>
                  <w:u w:val="single"/>
                </w:rPr>
                <w:t>Condensed Consolidated Balance Sheets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9">
              <w:r>
                <w:rPr>
                  <w:rStyle w:val="InternetLink"/>
                  <w:rFonts w:ascii="Times New Roman;serif" w:hAnsi="Times New Roman;serif"/>
                  <w:b w:val="false"/>
                  <w:strike w:val="false"/>
                  <w:dstrike w:val="false"/>
                  <w:color w:val="0000FF"/>
                  <w:sz w:val="20"/>
                  <w:u w:val="none"/>
                  <w:effect w:val="non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22">
              <w:r>
                <w:rPr>
                  <w:rStyle w:val="InternetLink"/>
                  <w:rFonts w:ascii="Times New Roman;serif" w:hAnsi="Times New Roman;serif"/>
                  <w:b w:val="false"/>
                  <w:color w:val="0000FF"/>
                  <w:sz w:val="20"/>
                  <w:u w:val="single"/>
                </w:rPr>
                <w:t>Condensed Consolidated Statements of Operations and Comprehensive Income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22">
              <w:r>
                <w:rPr>
                  <w:rStyle w:val="InternetLink"/>
                  <w:rFonts w:ascii="Times New Roman;serif" w:hAnsi="Times New Roman;serif"/>
                  <w:b w:val="false"/>
                  <w:strike w:val="false"/>
                  <w:dstrike w:val="false"/>
                  <w:color w:val="0000FF"/>
                  <w:sz w:val="20"/>
                  <w:u w:val="none"/>
                  <w:effect w:val="non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25">
              <w:r>
                <w:rPr>
                  <w:rStyle w:val="InternetLink"/>
                  <w:rFonts w:ascii="Times New Roman;serif" w:hAnsi="Times New Roman;serif"/>
                  <w:b w:val="false"/>
                  <w:color w:val="0000FF"/>
                  <w:sz w:val="20"/>
                  <w:u w:val="single"/>
                </w:rPr>
                <w:t>Condensed Consolidated Statements of Changes in Stockholders’ Equity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25">
              <w:r>
                <w:rPr>
                  <w:rStyle w:val="InternetLink"/>
                  <w:rFonts w:ascii="Times New Roman;serif" w:hAnsi="Times New Roman;serif"/>
                  <w:b w:val="false"/>
                  <w:strike w:val="false"/>
                  <w:dstrike w:val="false"/>
                  <w:color w:val="0000FF"/>
                  <w:sz w:val="20"/>
                  <w:u w:val="none"/>
                  <w:effect w:val="non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28">
              <w:r>
                <w:rPr>
                  <w:rStyle w:val="InternetLink"/>
                  <w:rFonts w:ascii="Times New Roman;serif" w:hAnsi="Times New Roman;serif"/>
                  <w:b w:val="false"/>
                  <w:color w:val="0000FF"/>
                  <w:sz w:val="20"/>
                  <w:u w:val="single"/>
                </w:rPr>
                <w:t>Condensed Consolidated Statements of Cash Flows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28">
              <w:r>
                <w:rPr>
                  <w:rStyle w:val="InternetLink"/>
                  <w:rFonts w:ascii="Times New Roman;serif" w:hAnsi="Times New Roman;serif"/>
                  <w:b w:val="false"/>
                  <w:strike w:val="false"/>
                  <w:dstrike w:val="false"/>
                  <w:color w:val="0000FF"/>
                  <w:sz w:val="20"/>
                  <w:u w:val="none"/>
                  <w:effect w:val="non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31">
              <w:r>
                <w:rPr>
                  <w:rStyle w:val="InternetLink"/>
                  <w:rFonts w:ascii="Times New Roman;serif" w:hAnsi="Times New Roman;serif"/>
                  <w:b w:val="false"/>
                  <w:color w:val="0000FF"/>
                  <w:sz w:val="20"/>
                  <w:u w:val="single"/>
                </w:rPr>
                <w:t>Notes to Condensed Consolidated Financial Statements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31">
              <w:r>
                <w:rPr>
                  <w:rStyle w:val="InternetLink"/>
                  <w:rFonts w:ascii="Times New Roman;serif" w:hAnsi="Times New Roman;serif"/>
                  <w:b w:val="false"/>
                  <w:strike w:val="false"/>
                  <w:dstrike w:val="false"/>
                  <w:color w:val="0000FF"/>
                  <w:sz w:val="20"/>
                  <w:u w:val="none"/>
                  <w:effect w:val="none"/>
                </w:rPr>
                <w:t>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3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33">
              <w:r>
                <w:rPr>
                  <w:rStyle w:val="InternetLink"/>
                  <w:rFonts w:ascii="Times New Roman;serif" w:hAnsi="Times New Roman;serif"/>
                  <w:b w:val="false"/>
                  <w:strike w:val="false"/>
                  <w:dstrike w:val="false"/>
                  <w:color w:val="0000FF"/>
                  <w:sz w:val="20"/>
                  <w:u w:val="none"/>
                  <w:effect w:val="none"/>
                </w:rPr>
                <w:t>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57">
              <w:r>
                <w:rPr>
                  <w:rStyle w:val="InternetLink"/>
                  <w:rFonts w:ascii="Times New Roman;serif" w:hAnsi="Times New Roman;serif"/>
                  <w:b w:val="false"/>
                  <w:color w:val="0000FF"/>
                  <w:sz w:val="20"/>
                  <w:u w:val="single"/>
                </w:rPr>
                <w:t>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57">
              <w:r>
                <w:rPr>
                  <w:rStyle w:val="InternetLink"/>
                  <w:rFonts w:ascii="Times New Roman;serif" w:hAnsi="Times New Roman;serif"/>
                  <w:b w:val="false"/>
                  <w:strike w:val="false"/>
                  <w:dstrike w:val="false"/>
                  <w:color w:val="0000FF"/>
                  <w:sz w:val="20"/>
                  <w:u w:val="none"/>
                  <w:effect w:val="non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60">
              <w:r>
                <w:rPr>
                  <w:rStyle w:val="InternetLink"/>
                  <w:rFonts w:ascii="Times New Roman;serif" w:hAnsi="Times New Roman;serif"/>
                  <w:b w:val="false"/>
                  <w:color w:val="0000FF"/>
                  <w:sz w:val="20"/>
                  <w:u w:val="single"/>
                </w:rPr>
                <w:t>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60">
              <w:r>
                <w:rPr>
                  <w:rStyle w:val="InternetLink"/>
                  <w:rFonts w:ascii="Times New Roman;serif" w:hAnsi="Times New Roman;serif"/>
                  <w:b w:val="false"/>
                  <w:strike w:val="false"/>
                  <w:dstrike w:val="false"/>
                  <w:color w:val="0000FF"/>
                  <w:sz w:val="20"/>
                  <w:u w:val="none"/>
                  <w:effect w:val="non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OTHER INFORMATION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66">
              <w:r>
                <w:rPr>
                  <w:rStyle w:val="InternetLink"/>
                  <w:rFonts w:ascii="Times New Roman;serif" w:hAnsi="Times New Roman;serif"/>
                  <w:b w:val="false"/>
                  <w:color w:val="0000FF"/>
                  <w:sz w:val="20"/>
                  <w:u w:val="single"/>
                </w:rPr>
                <w:t>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66">
              <w:r>
                <w:rPr>
                  <w:rStyle w:val="InternetLink"/>
                  <w:rFonts w:ascii="Times New Roman;serif" w:hAnsi="Times New Roman;serif"/>
                  <w:b w:val="false"/>
                  <w:strike w:val="false"/>
                  <w:dstrike w:val="false"/>
                  <w:color w:val="0000FF"/>
                  <w:sz w:val="20"/>
                  <w:u w:val="none"/>
                  <w:effect w:val="non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69">
              <w:r>
                <w:rPr>
                  <w:rStyle w:val="InternetLink"/>
                  <w:rFonts w:ascii="Times New Roman;serif" w:hAnsi="Times New Roman;serif"/>
                  <w:b w:val="false"/>
                  <w:color w:val="0000FF"/>
                  <w:sz w:val="20"/>
                  <w:u w:val="single"/>
                </w:rPr>
                <w:t>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69">
              <w:r>
                <w:rPr>
                  <w:rStyle w:val="InternetLink"/>
                  <w:rFonts w:ascii="Times New Roman;serif" w:hAnsi="Times New Roman;serif"/>
                  <w:b w:val="false"/>
                  <w:strike w:val="false"/>
                  <w:dstrike w:val="false"/>
                  <w:color w:val="0000FF"/>
                  <w:sz w:val="20"/>
                  <w:u w:val="none"/>
                  <w:effect w:val="non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72">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72">
              <w:r>
                <w:rPr>
                  <w:rStyle w:val="InternetLink"/>
                  <w:rFonts w:ascii="Times New Roman;serif" w:hAnsi="Times New Roman;serif"/>
                  <w:b w:val="false"/>
                  <w:strike w:val="false"/>
                  <w:dstrike w:val="false"/>
                  <w:color w:val="0000FF"/>
                  <w:sz w:val="20"/>
                  <w:u w:val="none"/>
                  <w:effect w:val="non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75">
              <w:r>
                <w:rPr>
                  <w:rStyle w:val="InternetLink"/>
                  <w:rFonts w:ascii="Times New Roman;serif" w:hAnsi="Times New Roman;serif"/>
                  <w:b w:val="false"/>
                  <w:color w:val="0000FF"/>
                  <w:sz w:val="20"/>
                  <w:u w:val="single"/>
                </w:rPr>
                <w:t>Defaults Upon Senior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78">
              <w:r>
                <w:rPr>
                  <w:rStyle w:val="InternetLink"/>
                  <w:rFonts w:ascii="Times New Roman;serif" w:hAnsi="Times New Roman;serif"/>
                  <w:b w:val="false"/>
                  <w:strike w:val="false"/>
                  <w:dstrike w:val="false"/>
                  <w:color w:val="0000FF"/>
                  <w:sz w:val="20"/>
                  <w:u w:val="none"/>
                  <w:effect w:val="non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78">
              <w:r>
                <w:rPr>
                  <w:rStyle w:val="InternetLink"/>
                  <w:rFonts w:ascii="Times New Roman;serif" w:hAnsi="Times New Roman;serif"/>
                  <w:b w:val="false"/>
                  <w:color w:val="0000FF"/>
                  <w:sz w:val="20"/>
                  <w:u w:val="single"/>
                </w:rPr>
                <w:t>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78">
              <w:r>
                <w:rPr>
                  <w:rStyle w:val="InternetLink"/>
                  <w:rFonts w:ascii="Times New Roman;serif" w:hAnsi="Times New Roman;serif"/>
                  <w:b w:val="false"/>
                  <w:strike w:val="false"/>
                  <w:dstrike w:val="false"/>
                  <w:color w:val="0000FF"/>
                  <w:sz w:val="20"/>
                  <w:u w:val="none"/>
                  <w:effect w:val="non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81">
              <w:r>
                <w:rPr>
                  <w:rStyle w:val="InternetLink"/>
                  <w:rFonts w:ascii="Times New Roman;serif" w:hAnsi="Times New Roman;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78">
              <w:r>
                <w:rPr>
                  <w:rStyle w:val="InternetLink"/>
                  <w:rFonts w:ascii="Times New Roman;serif" w:hAnsi="Times New Roman;serif"/>
                  <w:b w:val="false"/>
                  <w:strike w:val="false"/>
                  <w:dstrike w:val="false"/>
                  <w:color w:val="0000FF"/>
                  <w:sz w:val="20"/>
                  <w:u w:val="none"/>
                  <w:effect w:val="non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90">
              <w:r>
                <w:rPr>
                  <w:rStyle w:val="InternetLink"/>
                  <w:rFonts w:ascii="Times New Roman;serif" w:hAnsi="Times New Roman;serif"/>
                  <w:b w:val="false"/>
                  <w:color w:val="0000FF"/>
                  <w:sz w:val="20"/>
                  <w:u w:val="single"/>
                </w:rPr>
                <w:t>Exhibits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90">
              <w:r>
                <w:rPr>
                  <w:rStyle w:val="InternetLink"/>
                  <w:rFonts w:ascii="Times New Roman;serif" w:hAnsi="Times New Roman;serif"/>
                  <w:b w:val="false"/>
                  <w:strike w:val="false"/>
                  <w:dstrike w:val="false"/>
                  <w:color w:val="0000FF"/>
                  <w:sz w:val="20"/>
                  <w:u w:val="none"/>
                  <w:effect w:val="none"/>
                </w:rPr>
                <w:t>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f7b3961824842caa517d6fc3ac414bb_193">
              <w:r>
                <w:rPr>
                  <w:rStyle w:val="InternetLink"/>
                  <w:rFonts w:ascii="Times New Roman;serif" w:hAnsi="Times New Roman;serif"/>
                  <w:b w:val="false"/>
                  <w:color w:val="0000FF"/>
                  <w:sz w:val="20"/>
                  <w:u w:val="single"/>
                </w:rPr>
                <w:t>Signatures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7b3961824842caa517d6fc3ac414bb_193">
              <w:r>
                <w:rPr>
                  <w:rStyle w:val="InternetLink"/>
                  <w:rFonts w:ascii="Times New Roman;serif" w:hAnsi="Times New Roman;serif"/>
                  <w:b w:val="false"/>
                  <w:strike w:val="false"/>
                  <w:dstrike w:val="false"/>
                  <w:color w:val="0000FF"/>
                  <w:sz w:val="20"/>
                  <w:u w:val="none"/>
                  <w:effect w:val="none"/>
                </w:rPr>
                <w:t>25</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Statements in this report regarding the business of The Chefs’ Warehouse, Inc. (the “Company”) that are not historical facts are “forward-looking statements” that involve risks and uncertainties and are based on current expectations and management estimates; actual results may differ materially. Words such as “anticipates”, “expects”, “predicts”, “contemplates”, “projects”, “forecasts”, “intends”, “plans”, “believes”, “seeks”, “estimates”, “could”, “should”, “will”, “may”, “would” and variations of these words and similar expressions are intended to identify forward-looking statements. These statements are not guarantees of future performance and are subject to risks, uncertainties and other factors, some of which are beyond our control, are difficult to predict and/or could cause actual results to differ materially from those expressed or forecasted in the forward-looking statements. The risks and uncertainties which could impact these statements include, but are not limited to the following: our success depends to a significant extent upon general economic conditions, including disposable income levels and changes in consumer discretionary spending; the relatively low margins of our business, which are sensitive to inflationary and deflationary pressures and intense competition; changes in our credit profile and any effect they may have on our relationships with suppliers; the effects of rising costs for and/or decreases in supply of commodities, ingredients, packaging, other raw materials, distribution and labor; price reductions by our manufacturers of products that we sell, which could cause the value of our inventory to decline or our customers to demand lower sales prices; fuel cost volatility and its impact on distribution, packaging and energy costs; our continued ability to promote our brand successfully, to anticipate and respond to new customer demands, and to develop new products and markets to compete effectively; our ability and the ability of our supply chain partners to continue to operate distribution centers and other work locations without material disruption, and to procure ingredients, packaging and other raw materials when needed despite disruptions in the supply chain or labor shortages; risks associated with the expansion of our business; our possible inability to identify new acquisitions or to integrate recent or future acquisitions, or our failure to realize anticipated revenue enhancements, cost savings or other synergies from recent or future acquisitions; other factors that affect the food industry generally, including: recalls if products become adulterated or misbranded, liability if product consumption causes injury, ingredient disclosure and labeling laws and regulations and the possibility that customers could lose confidence in the safety and quality of certain food products; new information or attitudes regarding diet and health or adverse opinions about the health effects of the products we distribute; dependence on independent certifications for products; changes in disposable income levels and consumer purchasing habits; competitors’ pricing practices and promotional spending levels; fluctuations in the level of our customers’ inventories and credit and other related business risks; and the risks associated with third-party suppliers, including the risk that any failure by one or more of our third-party suppliers to comply with food safety or other laws and regulations may disrupt our supply of raw materials or certain products or injure our reputation; our ability to recruit and retain senior management and a highly skilled and diverse workforce; unanticipated expenses, including, without limitation, litigation or legal settlement expenses, adverse judgments, or impairment charges; the cost and adequacy of our insurance policies; the impact and effects of public health crises, pandemics and epidemics and the adverse impact thereof on our business, financial condition, and results of operations; economic and other developments, or events, including adverse weather conditions, in the culinary markets in which we operate; information technology system failures, cybersecurity incidents, or other disruptions to our use of technology and networks; our ability to realize the benefits we anticipate from investments in information technology; our ability to protect our intellectual property; significant governmental regulation and any potential failure to comply with such regulation; changing rules, public disclosure regulations and stakeholder expectations on ESG-related matters; federal, state, provincial and local tax rules in the United States and the foreign countries in which we operate, including tax reform and legislation; climate change or the legal, regulatory or market measures being implemented to address climate change; the concentration of ownership among our existing executive officers, directors and their affiliates which may prevent new investors from influencing significant corporate decisions; risks relating to our substantial indebtedness; our ability to raise additional capital and/or obtain debt or other financing, on commercially reasonable terms or at all; our ability to meet future cash requirements, including the ability to access financial markets effectively and maintain sufficient liquidity; the effects of currency movements in the jurisdictions in which we operate as compared to the U.S. dollar; the effects of international trade disputes, tariffs, quotas and other import or export restrictions on our international procurement, sales and operations; other factors discussed elsewhere in this report</w:t>
      </w:r>
      <w:r>
        <w:rPr>
          <w:color w:val="000000"/>
        </w:rPr>
        <w:t xml:space="preserve"> </w:t>
      </w:r>
      <w:r>
        <w:rPr>
          <w:rFonts w:ascii="Times New Roman;serif" w:hAnsi="Times New Roman;serif"/>
          <w:b w:val="false"/>
          <w:color w:val="000000"/>
          <w:sz w:val="20"/>
        </w:rPr>
        <w:t xml:space="preserve">and in our other public filings with the Securities and Exchange Commission (“SEC”).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forward-looking statements are made pursuant to the Private Securities Litigation Reform Act of 1995, Section 27A of the Securities Act of 1933, as amended, and Section 21E of the Securities Exchange Act of 1934, as amended, and, as such, speak only as of the date made. A more detailed description of these and other risk factors is contained in the Company’s most recent Annual Report on Form 10-K filed with the SEC on February 24, 2026 and other reports, including this Quarterly Report on Form 10-Q, filed by the Company with the SEC since that date. The Company is not undertaking to update any information in the foregoing reports until the filing or effective dates of its future reports required by applicable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pPr>
      <w:r>
        <w:rPr>
          <w:color w:val="000000"/>
        </w:rPr>
        <w:t> </w:t>
      </w: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tbl>
      <w:tblPr>
        <w:tblW w:w="10205" w:type="dxa"/>
        <w:jc w:val="center"/>
        <w:tblInd w:w="0" w:type="dxa"/>
        <w:tblLayout w:type="fixed"/>
        <w:tblCellMar>
          <w:top w:w="28" w:type="dxa"/>
          <w:left w:w="28" w:type="dxa"/>
          <w:bottom w:w="28" w:type="dxa"/>
          <w:right w:w="28" w:type="dxa"/>
        </w:tblCellMar>
      </w:tblPr>
      <w:tblGrid>
        <w:gridCol w:w="2878"/>
        <w:gridCol w:w="2101"/>
        <w:gridCol w:w="2074"/>
        <w:gridCol w:w="212"/>
        <w:gridCol w:w="983"/>
        <w:gridCol w:w="109"/>
        <w:gridCol w:w="109"/>
        <w:gridCol w:w="109"/>
        <w:gridCol w:w="109"/>
        <w:gridCol w:w="238"/>
        <w:gridCol w:w="1104"/>
        <w:gridCol w:w="179"/>
      </w:tblGrid>
      <w:tr>
        <w:trPr/>
        <w:tc>
          <w:tcPr>
            <w:tcW w:w="2878"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26,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26, 2025</w:t>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($27,112 in 2026, $26,965 in 2025)</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392,374 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969,889 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137,310 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2,028,007 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0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operating lease liabilities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473,459 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 net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1,423,698 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 $0.01 par value, 5,000,000 shares authorized, no shares issued and outstanding at June 26, 2026 and December 26, 2025, respectively</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100,000,000 shares authorized, 40,783,752 and 40,679,813 shares issued and outstanding at June 26, 2026 and December 26, 2025, respectively</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604,309 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2,028,007 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amounts)</w:t>
      </w:r>
    </w:p>
    <w:tbl>
      <w:tblPr>
        <w:tblW w:w="10170" w:type="dxa"/>
        <w:jc w:val="left"/>
        <w:tblInd w:w="0" w:type="dxa"/>
        <w:tblLayout w:type="fixed"/>
        <w:tblCellMar>
          <w:top w:w="28" w:type="dxa"/>
          <w:left w:w="28" w:type="dxa"/>
          <w:bottom w:w="28" w:type="dxa"/>
          <w:right w:w="28" w:type="dxa"/>
        </w:tblCellMar>
      </w:tblPr>
      <w:tblGrid>
        <w:gridCol w:w="1696"/>
        <w:gridCol w:w="1123"/>
        <w:gridCol w:w="114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38,930,511 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38,788,843 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46,055,696 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amounts)</w:t>
      </w:r>
    </w:p>
    <w:p>
      <w:pPr>
        <w:pStyle w:val="TextBody"/>
        <w:bidi w:val="0"/>
        <w:spacing w:before="0" w:after="0"/>
        <w:jc w:val="center"/>
        <w:rPr/>
      </w:pPr>
      <w:r>
        <w:rPr/>
      </w:r>
    </w:p>
    <w:tbl>
      <w:tblPr>
        <w:tblW w:w="10871" w:type="dxa"/>
        <w:jc w:val="center"/>
        <w:tblInd w:w="0" w:type="dxa"/>
        <w:tblLayout w:type="fixed"/>
        <w:tblCellMar>
          <w:top w:w="28" w:type="dxa"/>
          <w:left w:w="28" w:type="dxa"/>
          <w:bottom w:w="28" w:type="dxa"/>
          <w:right w:w="28" w:type="dxa"/>
        </w:tblCellMar>
      </w:tblPr>
      <w:tblGrid>
        <w:gridCol w:w="638"/>
        <w:gridCol w:w="311"/>
        <w:gridCol w:w="312"/>
        <w:gridCol w:w="548"/>
        <w:gridCol w:w="548"/>
        <w:gridCol w:w="226"/>
        <w:gridCol w:w="109"/>
        <w:gridCol w:w="109"/>
        <w:gridCol w:w="109"/>
        <w:gridCol w:w="211"/>
        <w:gridCol w:w="481"/>
        <w:gridCol w:w="109"/>
        <w:gridCol w:w="109"/>
        <w:gridCol w:w="109"/>
        <w:gridCol w:w="109"/>
        <w:gridCol w:w="211"/>
        <w:gridCol w:w="841"/>
        <w:gridCol w:w="109"/>
        <w:gridCol w:w="109"/>
        <w:gridCol w:w="109"/>
        <w:gridCol w:w="109"/>
        <w:gridCol w:w="316"/>
        <w:gridCol w:w="946"/>
        <w:gridCol w:w="164"/>
        <w:gridCol w:w="109"/>
        <w:gridCol w:w="109"/>
        <w:gridCol w:w="109"/>
        <w:gridCol w:w="211"/>
        <w:gridCol w:w="841"/>
        <w:gridCol w:w="109"/>
        <w:gridCol w:w="109"/>
        <w:gridCol w:w="109"/>
        <w:gridCol w:w="109"/>
        <w:gridCol w:w="109"/>
        <w:gridCol w:w="109"/>
        <w:gridCol w:w="571"/>
        <w:gridCol w:w="109"/>
        <w:gridCol w:w="211"/>
        <w:gridCol w:w="841"/>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Retained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315"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3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26, 2025</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40,679,813</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405,020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(2,763)</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201,645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604,309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retired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(156,861)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stock plans, net of shares surrendered to pay tax withholding</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27, 2026</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40,743,689</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400,620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(2,988)</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210,591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608,631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stock plans, net of shares surrendered to pay tax withholding</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26, 2026</w:t>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40,783,752</w:t>
            </w:r>
            <w:r>
              <w:rPr>
                <w:color w:val="000000"/>
              </w:rPr>
              <w:t>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406,885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(3,416)</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244,358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648,235</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amounts)</w:t>
      </w:r>
    </w:p>
    <w:p>
      <w:pPr>
        <w:pStyle w:val="TextBody"/>
        <w:bidi w:val="0"/>
        <w:spacing w:before="0" w:after="0"/>
        <w:jc w:val="center"/>
        <w:rPr/>
      </w:pPr>
      <w:r>
        <w:rPr/>
      </w:r>
    </w:p>
    <w:tbl>
      <w:tblPr>
        <w:tblW w:w="10871" w:type="dxa"/>
        <w:jc w:val="center"/>
        <w:tblInd w:w="0" w:type="dxa"/>
        <w:tblLayout w:type="fixed"/>
        <w:tblCellMar>
          <w:top w:w="28" w:type="dxa"/>
          <w:left w:w="28" w:type="dxa"/>
          <w:bottom w:w="28" w:type="dxa"/>
          <w:right w:w="28" w:type="dxa"/>
        </w:tblCellMar>
      </w:tblPr>
      <w:tblGrid>
        <w:gridCol w:w="638"/>
        <w:gridCol w:w="311"/>
        <w:gridCol w:w="312"/>
        <w:gridCol w:w="548"/>
        <w:gridCol w:w="548"/>
        <w:gridCol w:w="226"/>
        <w:gridCol w:w="109"/>
        <w:gridCol w:w="109"/>
        <w:gridCol w:w="109"/>
        <w:gridCol w:w="211"/>
        <w:gridCol w:w="481"/>
        <w:gridCol w:w="109"/>
        <w:gridCol w:w="109"/>
        <w:gridCol w:w="109"/>
        <w:gridCol w:w="109"/>
        <w:gridCol w:w="211"/>
        <w:gridCol w:w="841"/>
        <w:gridCol w:w="109"/>
        <w:gridCol w:w="109"/>
        <w:gridCol w:w="109"/>
        <w:gridCol w:w="109"/>
        <w:gridCol w:w="316"/>
        <w:gridCol w:w="946"/>
        <w:gridCol w:w="164"/>
        <w:gridCol w:w="109"/>
        <w:gridCol w:w="109"/>
        <w:gridCol w:w="109"/>
        <w:gridCol w:w="211"/>
        <w:gridCol w:w="841"/>
        <w:gridCol w:w="109"/>
        <w:gridCol w:w="109"/>
        <w:gridCol w:w="109"/>
        <w:gridCol w:w="109"/>
        <w:gridCol w:w="109"/>
        <w:gridCol w:w="109"/>
        <w:gridCol w:w="571"/>
        <w:gridCol w:w="109"/>
        <w:gridCol w:w="211"/>
        <w:gridCol w:w="841"/>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Retained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315"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27, 2024</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40,248,884</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399,111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(3,807)</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141,940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537,646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exercised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stock plans, net of shares surrendered to pay tax withholding</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28, 2025</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40,674,391</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392,636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(3,630)</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152,228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541,640</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retired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exercised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stock plans, net of shares surrendered to pay tax withholding</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27, 2025</w:t>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40,737,795</w:t>
            </w:r>
            <w:r>
              <w:rPr>
                <w:color w:val="000000"/>
              </w:rPr>
              <w:t>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395,078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(2,788)</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165,021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557,718</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9640" w:type="dxa"/>
        <w:jc w:val="left"/>
        <w:tblInd w:w="0" w:type="dxa"/>
        <w:tblLayout w:type="fixed"/>
        <w:tblCellMar>
          <w:top w:w="28" w:type="dxa"/>
          <w:left w:w="28" w:type="dxa"/>
          <w:bottom w:w="28" w:type="dxa"/>
          <w:right w:w="28" w:type="dxa"/>
        </w:tblCellMar>
      </w:tblPr>
      <w:tblGrid>
        <w:gridCol w:w="2429"/>
        <w:gridCol w:w="2138"/>
        <w:gridCol w:w="2152"/>
        <w:gridCol w:w="231"/>
        <w:gridCol w:w="924"/>
        <w:gridCol w:w="119"/>
        <w:gridCol w:w="109"/>
        <w:gridCol w:w="109"/>
        <w:gridCol w:w="109"/>
        <w:gridCol w:w="253"/>
        <w:gridCol w:w="883"/>
        <w:gridCol w:w="18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allowance for credit losses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deferred income taxes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and other operating activities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accrued compensation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1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96,651</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64,069</w:t>
            </w: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 net of cash acquired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1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(17,210)</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(22,325)</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and other financing obligations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finance leases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Surrender of shares to pay withholding taxes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Payments under asset-based loan facility </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1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(64,868)</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(59,645)</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on cash and cash equivalents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equivalents-beginning of period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equivalents-end of period</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135,466</w:t>
            </w:r>
            <w:r>
              <w:rPr>
                <w:color w:val="000000"/>
              </w:rPr>
              <w:t>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96,866</w:t>
            </w:r>
            <w:r>
              <w:rPr>
                <w:color w:val="000000"/>
              </w:rPr>
              <w:t>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Operations and 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Description of Business and 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Chefs’ Warehouse, Inc., and its wholly-owned subsidiaries (the “Company”), is a distributor of specialty food and center-of-the-plate products in the United States, the Middle East and Canada. The Company is focused on serving the specific needs of chefs who own and/or operate restaurants, country clubs, hotels, caterers, culinary schools, bakeries, patisseries, chocolateries, cruise lines, casinos and specialty food stores.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quarterly periods end on the thirteenth Friday of each quarter. Every six to seven years, the Company will add a fourteenth week to its fourth quarter to more closely align its year-end to the calendar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all the accounts of the Company and its direct and indirect wholly-owned subsidiaries. All significant intercompany accounts and transactions have been eliminated.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Unaudited Interim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and the related interim information contained within the notes to such unaudited condensed consolidated financial statements have been prepared in accordance with accounting principles generally accepted in the United States of America (“GAAP”) and the applicable rules of the Securities and Exchange Commission (“SEC”) for interim information and quarterly reports on Form 10-Q. Accordingly, they do not include all the information and disclosures required by GAAP for complete financial statements. These unaudited condensed consolidated financial statements and related notes should be read in conjunction with the Company’s audited consolidated financial statements and notes thereto for the fiscal year ended December 26, 2025 filed as part of the Company’s Annual Report on Form 10-K (the “2025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appearing in this Form 10-Q have been prepared on the same basis as the audited consolidated financial statements included in the Company’s 2025 Form 10-K, and in the opinion of management, include all normal recurring adjustments that are necessary for the fair statement of the Company’s interim period results. The year-end consolidated balance sheet data was derived from the audited financial statements but does not include all disclosures required by GAAP. Due to seasonal fluctuations and other factors, the results of operations for the thirteen and twenty-six weeks ended June 26, 2026 are not necessarily indicative of the results to be expected for the full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management’s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sales disaggregated by principal product category:</w:t>
      </w:r>
    </w:p>
    <w:tbl>
      <w:tblPr>
        <w:tblW w:w="12312" w:type="dxa"/>
        <w:jc w:val="center"/>
        <w:tblInd w:w="0" w:type="dxa"/>
        <w:tblLayout w:type="fixed"/>
        <w:tblCellMar>
          <w:top w:w="28" w:type="dxa"/>
          <w:left w:w="28" w:type="dxa"/>
          <w:bottom w:w="28" w:type="dxa"/>
          <w:right w:w="28" w:type="dxa"/>
        </w:tblCellMar>
      </w:tblPr>
      <w:tblGrid>
        <w:gridCol w:w="604"/>
        <w:gridCol w:w="530"/>
        <w:gridCol w:w="532"/>
        <w:gridCol w:w="211"/>
        <w:gridCol w:w="976"/>
        <w:gridCol w:w="109"/>
        <w:gridCol w:w="109"/>
        <w:gridCol w:w="109"/>
        <w:gridCol w:w="109"/>
        <w:gridCol w:w="255"/>
        <w:gridCol w:w="256"/>
        <w:gridCol w:w="271"/>
        <w:gridCol w:w="109"/>
        <w:gridCol w:w="109"/>
        <w:gridCol w:w="109"/>
        <w:gridCol w:w="211"/>
        <w:gridCol w:w="976"/>
        <w:gridCol w:w="109"/>
        <w:gridCol w:w="109"/>
        <w:gridCol w:w="109"/>
        <w:gridCol w:w="109"/>
        <w:gridCol w:w="255"/>
        <w:gridCol w:w="256"/>
        <w:gridCol w:w="271"/>
        <w:gridCol w:w="109"/>
        <w:gridCol w:w="109"/>
        <w:gridCol w:w="109"/>
        <w:gridCol w:w="211"/>
        <w:gridCol w:w="976"/>
        <w:gridCol w:w="109"/>
        <w:gridCol w:w="109"/>
        <w:gridCol w:w="109"/>
        <w:gridCol w:w="109"/>
        <w:gridCol w:w="255"/>
        <w:gridCol w:w="256"/>
        <w:gridCol w:w="271"/>
        <w:gridCol w:w="109"/>
        <w:gridCol w:w="109"/>
        <w:gridCol w:w="109"/>
        <w:gridCol w:w="211"/>
        <w:gridCol w:w="976"/>
        <w:gridCol w:w="109"/>
        <w:gridCol w:w="109"/>
        <w:gridCol w:w="109"/>
        <w:gridCol w:w="109"/>
        <w:gridCol w:w="255"/>
        <w:gridCol w:w="256"/>
        <w:gridCol w:w="316"/>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Center-of-the-Plate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Dry Goods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Cheese and Charcuterie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Dairy and Eggs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Oils and Vinegars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 Supplies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Specialty</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640,579 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determines its product category classification based on how the Company currently markets its products to its customers. The Company’s definition of its principal product categories may differ from the way in which other companies present similar information. Net sales by product category may include estimates of product mix for certain locations that are not yet fully integrated into the Company’s sales reporting system as of the reporting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Net Income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share is calculated by dividing net income by the weighted average number of shares of common stock outstanding during the period. Diluted net income per share adjusts basic net income per share for all the potentially dilutive shares outstanding during the period. When the Company’s convertible notes are dilutive, interest on the convertible notes, net of tax, is added back to net income in order to calculate diluted earnings available to common shareholders.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common share:</w:t>
      </w:r>
    </w:p>
    <w:tbl>
      <w:tblPr>
        <w:tblW w:w="9113" w:type="dxa"/>
        <w:jc w:val="left"/>
        <w:tblInd w:w="0" w:type="dxa"/>
        <w:tblLayout w:type="fixed"/>
        <w:tblCellMar>
          <w:top w:w="28" w:type="dxa"/>
          <w:left w:w="28" w:type="dxa"/>
          <w:bottom w:w="28" w:type="dxa"/>
          <w:right w:w="28" w:type="dxa"/>
        </w:tblCellMar>
      </w:tblPr>
      <w:tblGrid>
        <w:gridCol w:w="1065"/>
        <w:gridCol w:w="933"/>
        <w:gridCol w:w="942"/>
        <w:gridCol w:w="323"/>
        <w:gridCol w:w="785"/>
        <w:gridCol w:w="167"/>
        <w:gridCol w:w="111"/>
        <w:gridCol w:w="111"/>
        <w:gridCol w:w="111"/>
        <w:gridCol w:w="323"/>
        <w:gridCol w:w="785"/>
        <w:gridCol w:w="167"/>
        <w:gridCol w:w="109"/>
        <w:gridCol w:w="109"/>
        <w:gridCol w:w="109"/>
        <w:gridCol w:w="324"/>
        <w:gridCol w:w="784"/>
        <w:gridCol w:w="167"/>
        <w:gridCol w:w="123"/>
        <w:gridCol w:w="123"/>
        <w:gridCol w:w="123"/>
        <w:gridCol w:w="318"/>
        <w:gridCol w:w="770"/>
        <w:gridCol w:w="231"/>
      </w:tblGrid>
      <w:tr>
        <w:trPr/>
        <w:tc>
          <w:tcPr>
            <w:tcW w:w="106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38,930,511 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38,883,019 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38,871,337 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38,788,843 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46,049,607 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46,031,127 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46,041,507 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46,055,696 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per common share:</w:t>
      </w:r>
    </w:p>
    <w:tbl>
      <w:tblPr>
        <w:tblW w:w="10205" w:type="dxa"/>
        <w:jc w:val="left"/>
        <w:tblInd w:w="0" w:type="dxa"/>
        <w:tblLayout w:type="fixed"/>
        <w:tblCellMar>
          <w:top w:w="28" w:type="dxa"/>
          <w:left w:w="28" w:type="dxa"/>
          <w:bottom w:w="28" w:type="dxa"/>
          <w:right w:w="28" w:type="dxa"/>
        </w:tblCellMar>
      </w:tblPr>
      <w:tblGrid>
        <w:gridCol w:w="1507"/>
        <w:gridCol w:w="1304"/>
        <w:gridCol w:w="1311"/>
        <w:gridCol w:w="258"/>
        <w:gridCol w:w="875"/>
        <w:gridCol w:w="130"/>
        <w:gridCol w:w="109"/>
        <w:gridCol w:w="109"/>
        <w:gridCol w:w="109"/>
        <w:gridCol w:w="258"/>
        <w:gridCol w:w="875"/>
        <w:gridCol w:w="130"/>
        <w:gridCol w:w="109"/>
        <w:gridCol w:w="109"/>
        <w:gridCol w:w="109"/>
        <w:gridCol w:w="258"/>
        <w:gridCol w:w="875"/>
        <w:gridCol w:w="130"/>
        <w:gridCol w:w="109"/>
        <w:gridCol w:w="109"/>
        <w:gridCol w:w="109"/>
        <w:gridCol w:w="256"/>
        <w:gridCol w:w="870"/>
        <w:gridCol w:w="187"/>
      </w:tblGrid>
      <w:tr>
        <w:trPr/>
        <w:tc>
          <w:tcPr>
            <w:tcW w:w="150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securities</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convertible notes, net of tax</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33,980 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6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common shares outstanding</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38,930,511 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38,883,019 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38,871,337 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38,788,843 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unvested common shares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 and warrants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convertible notes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6,494,970 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6,494,970 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6,494,970 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6,494,970 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common shares outstanding</w:t>
            </w:r>
          </w:p>
        </w:tc>
        <w:tc>
          <w:tcPr>
            <w:tcW w:w="113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46,049,607 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46,031,127 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46,041,507 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46,055,696 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that have been excluded from the calculation of diluted net income per common share because the effect is anti-dilutive are as follows:</w:t>
      </w:r>
    </w:p>
    <w:tbl>
      <w:tblPr>
        <w:tblW w:w="10205" w:type="dxa"/>
        <w:jc w:val="center"/>
        <w:tblInd w:w="0" w:type="dxa"/>
        <w:tblLayout w:type="fixed"/>
        <w:tblCellMar>
          <w:top w:w="28" w:type="dxa"/>
          <w:left w:w="28" w:type="dxa"/>
          <w:bottom w:w="28" w:type="dxa"/>
          <w:right w:w="28" w:type="dxa"/>
        </w:tblCellMar>
      </w:tblPr>
      <w:tblGrid>
        <w:gridCol w:w="1457"/>
        <w:gridCol w:w="1282"/>
        <w:gridCol w:w="1291"/>
        <w:gridCol w:w="425"/>
        <w:gridCol w:w="343"/>
        <w:gridCol w:w="315"/>
        <w:gridCol w:w="184"/>
        <w:gridCol w:w="184"/>
        <w:gridCol w:w="184"/>
        <w:gridCol w:w="425"/>
        <w:gridCol w:w="416"/>
        <w:gridCol w:w="315"/>
        <w:gridCol w:w="109"/>
        <w:gridCol w:w="109"/>
        <w:gridCol w:w="109"/>
        <w:gridCol w:w="425"/>
        <w:gridCol w:w="416"/>
        <w:gridCol w:w="318"/>
        <w:gridCol w:w="199"/>
        <w:gridCol w:w="199"/>
        <w:gridCol w:w="199"/>
        <w:gridCol w:w="515"/>
        <w:gridCol w:w="359"/>
        <w:gridCol w:w="427"/>
      </w:tblGrid>
      <w:tr>
        <w:trPr/>
        <w:tc>
          <w:tcPr>
            <w:tcW w:w="145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awards (“RSAs”) and restricted stock units (“RSUs”)</w:t>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8,798 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215,454 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226,242 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259,505 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amounts reported in the Company’s condensed consolidated balance sheets for accounts receivable and accounts payable approximate fair value due to their immediate to short-term nature. The fair values of the asset-based loan facility and term loan approximated their book values as of June 26, 2026 and December 26, 2025, as these instruments had variable interest rates that reflected current market rates available to the Company and are classified as Level 2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 and fair value of the Company’s convertible notes and its unsecured note issued in connection with the acquisition of Italco Food Products (“Italco”) in fiscal 2025 (“Italco Note”). The fair value of the Company’s 2028 Convertible Senior Notes was based on bid/ask quotes as of or near the balance sheet date. The fair value of the Italco Note was determined based upon observable market prices of similar debt instruments.</w:t>
      </w:r>
    </w:p>
    <w:tbl>
      <w:tblPr>
        <w:tblW w:w="10205" w:type="dxa"/>
        <w:jc w:val="left"/>
        <w:tblInd w:w="0" w:type="dxa"/>
        <w:tblLayout w:type="fixed"/>
        <w:tblCellMar>
          <w:top w:w="28" w:type="dxa"/>
          <w:left w:w="28" w:type="dxa"/>
          <w:bottom w:w="28" w:type="dxa"/>
          <w:right w:w="28" w:type="dxa"/>
        </w:tblCellMar>
      </w:tblPr>
      <w:tblGrid>
        <w:gridCol w:w="850"/>
        <w:gridCol w:w="747"/>
        <w:gridCol w:w="750"/>
        <w:gridCol w:w="589"/>
        <w:gridCol w:w="589"/>
        <w:gridCol w:w="590"/>
        <w:gridCol w:w="254"/>
        <w:gridCol w:w="998"/>
        <w:gridCol w:w="131"/>
        <w:gridCol w:w="109"/>
        <w:gridCol w:w="109"/>
        <w:gridCol w:w="109"/>
        <w:gridCol w:w="211"/>
        <w:gridCol w:w="826"/>
        <w:gridCol w:w="109"/>
        <w:gridCol w:w="109"/>
        <w:gridCol w:w="109"/>
        <w:gridCol w:w="109"/>
        <w:gridCol w:w="254"/>
        <w:gridCol w:w="998"/>
        <w:gridCol w:w="131"/>
        <w:gridCol w:w="109"/>
        <w:gridCol w:w="109"/>
        <w:gridCol w:w="109"/>
        <w:gridCol w:w="211"/>
        <w:gridCol w:w="826"/>
        <w:gridCol w:w="160"/>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26, 2025</w:t>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Hierarchy</w:t>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Convertible Senior Notes</w:t>
            </w:r>
          </w:p>
        </w:tc>
        <w:tc>
          <w:tcPr>
            <w:tcW w:w="17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442,750 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Italco Note</w:t>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consist primarily of finished product and are reflected net of adjustments for shrinkage, excess and obsolescence to approximate their net realizable value totaling $12,318 and $10,520 at June 26, 2026 and December 26, 2025,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Property and Equipment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is net of accumulated depreciation and amortization of $201,614 and $178,931 at June 26, 2026 and December 26,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Goodwill and Other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are presented as follows:</w:t>
      </w:r>
    </w:p>
    <w:tbl>
      <w:tblPr>
        <w:tblW w:w="4730" w:type="dxa"/>
        <w:jc w:val="left"/>
        <w:tblInd w:w="0" w:type="dxa"/>
        <w:tblLayout w:type="fixed"/>
        <w:tblCellMar>
          <w:top w:w="28" w:type="dxa"/>
          <w:left w:w="28" w:type="dxa"/>
          <w:bottom w:w="28" w:type="dxa"/>
          <w:right w:w="28" w:type="dxa"/>
        </w:tblCellMar>
      </w:tblPr>
      <w:tblGrid>
        <w:gridCol w:w="1281"/>
        <w:gridCol w:w="1125"/>
        <w:gridCol w:w="1133"/>
        <w:gridCol w:w="211"/>
        <w:gridCol w:w="82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as of December 26,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adjustment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as of June 26,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363,391 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Reflects net working capital and measurement period adjustments related to a prior year acquisition.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 are net of accumulated amortization of $200,796 and $189,625 as of June 26, 2026 and December 26, 2025, respectively. Amortization expense for other intangible assets was $5,520 and $6,009 for the thirteen weeks ended June 26, 2026 and June 27, 2025, respectively, and $11,171 and $12,103 for the twenty-six weeks ended June 26, 2026 and June 27,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Debt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obligations as of June 26, 2026 and December 26, 2025 consisted of the following:</w:t>
      </w:r>
    </w:p>
    <w:tbl>
      <w:tblPr>
        <w:tblW w:w="10205" w:type="dxa"/>
        <w:jc w:val="left"/>
        <w:tblInd w:w="0" w:type="dxa"/>
        <w:tblLayout w:type="fixed"/>
        <w:tblCellMar>
          <w:top w:w="28" w:type="dxa"/>
          <w:left w:w="28" w:type="dxa"/>
          <w:bottom w:w="28" w:type="dxa"/>
          <w:right w:w="28" w:type="dxa"/>
        </w:tblCellMar>
      </w:tblPr>
      <w:tblGrid>
        <w:gridCol w:w="1039"/>
        <w:gridCol w:w="715"/>
        <w:gridCol w:w="721"/>
        <w:gridCol w:w="695"/>
        <w:gridCol w:w="641"/>
        <w:gridCol w:w="1598"/>
        <w:gridCol w:w="109"/>
        <w:gridCol w:w="109"/>
        <w:gridCol w:w="109"/>
        <w:gridCol w:w="394"/>
        <w:gridCol w:w="370"/>
        <w:gridCol w:w="372"/>
        <w:gridCol w:w="109"/>
        <w:gridCol w:w="109"/>
        <w:gridCol w:w="109"/>
        <w:gridCol w:w="222"/>
        <w:gridCol w:w="870"/>
        <w:gridCol w:w="114"/>
        <w:gridCol w:w="109"/>
        <w:gridCol w:w="109"/>
        <w:gridCol w:w="109"/>
        <w:gridCol w:w="259"/>
        <w:gridCol w:w="1018"/>
        <w:gridCol w:w="196"/>
      </w:tblGrid>
      <w:tr>
        <w:trPr/>
        <w:tc>
          <w:tcPr>
            <w:tcW w:w="103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 Average Effective Interest Rate at 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26, 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loans</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245,500 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252,000 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Convertible senior notes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loan facility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and other financing obligations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costs</w:t>
            </w:r>
          </w:p>
        </w:tc>
        <w:tc>
          <w:tcPr>
            <w:tcW w:w="2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obligations</w:t>
            </w:r>
          </w:p>
        </w:tc>
        <w:tc>
          <w:tcPr>
            <w:tcW w:w="2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724,681 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748,530 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installments</w:t>
            </w:r>
          </w:p>
        </w:tc>
        <w:tc>
          <w:tcPr>
            <w:tcW w:w="2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693,723 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720,333 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Secured Term Loan Credit Facility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January 2026 and June 2025, the Company entered into amendments to its senior secured term loan agreement, which reduced the interest rate spread on its senior secured term loan facility. Arrangement fees and third-party transaction costs were expensed as incurred and included in </w:t>
      </w: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other operating expenses</w:t>
      </w:r>
      <w:r>
        <w:rPr>
          <w:rFonts w:ascii="Times New Roman;serif" w:hAnsi="Times New Roman;serif"/>
          <w:b w:val="false"/>
          <w:color w:val="000000"/>
          <w:sz w:val="20"/>
        </w:rPr>
        <w:t>, respectively,</w:t>
      </w:r>
      <w:r>
        <w:rPr>
          <w:color w:val="000000"/>
        </w:rPr>
        <w:t xml:space="preserve"> </w:t>
      </w:r>
      <w:r>
        <w:rPr>
          <w:rFonts w:ascii="Times New Roman;serif" w:hAnsi="Times New Roman;serif"/>
          <w:b w:val="false"/>
          <w:color w:val="000000"/>
          <w:sz w:val="20"/>
        </w:rPr>
        <w:t xml:space="preserve">within the Company’s condensed consolidated statements of operations. Additionally, during the twenty-six weeks ended June 26, 2026 and June 27, 2025, the Company made voluntary principal prepayments totaling $5,000 and $5,000, respectively, towards the senior secured term loan. In connection with the prepayments, the Company wrote off unamortized deferred financing fees, which were included in </w:t>
      </w: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 xml:space="preserve">within the Company’s condensed consolidated statements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expenses in its condensed consolidated statements of operations as a result of these debt amendments and prepayments:</w:t>
      </w:r>
    </w:p>
    <w:tbl>
      <w:tblPr>
        <w:tblW w:w="10205" w:type="dxa"/>
        <w:jc w:val="left"/>
        <w:tblInd w:w="0" w:type="dxa"/>
        <w:tblLayout w:type="fixed"/>
        <w:tblCellMar>
          <w:top w:w="28" w:type="dxa"/>
          <w:left w:w="28" w:type="dxa"/>
          <w:bottom w:w="28" w:type="dxa"/>
          <w:right w:w="28" w:type="dxa"/>
        </w:tblCellMar>
      </w:tblPr>
      <w:tblGrid>
        <w:gridCol w:w="1719"/>
        <w:gridCol w:w="1508"/>
        <w:gridCol w:w="1514"/>
        <w:gridCol w:w="312"/>
        <w:gridCol w:w="603"/>
        <w:gridCol w:w="160"/>
        <w:gridCol w:w="117"/>
        <w:gridCol w:w="117"/>
        <w:gridCol w:w="117"/>
        <w:gridCol w:w="294"/>
        <w:gridCol w:w="652"/>
        <w:gridCol w:w="151"/>
        <w:gridCol w:w="109"/>
        <w:gridCol w:w="109"/>
        <w:gridCol w:w="109"/>
        <w:gridCol w:w="294"/>
        <w:gridCol w:w="652"/>
        <w:gridCol w:w="151"/>
        <w:gridCol w:w="121"/>
        <w:gridCol w:w="121"/>
        <w:gridCol w:w="121"/>
        <w:gridCol w:w="290"/>
        <w:gridCol w:w="642"/>
        <w:gridCol w:w="222"/>
      </w:tblGrid>
      <w:tr>
        <w:trPr/>
        <w:tc>
          <w:tcPr>
            <w:tcW w:w="1719"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Thirteen Weeks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on debt extinguishment related to prepayment included in </w:t>
            </w:r>
            <w:r>
              <w:rPr>
                <w:rFonts w:ascii="Times New Roman;serif" w:hAnsi="Times New Roman;serif"/>
                <w:b w:val="false"/>
                <w:i/>
                <w:color w:val="000000"/>
                <w:sz w:val="20"/>
              </w:rPr>
              <w:t>interest expense</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Arrangement fees included in </w:t>
            </w:r>
            <w:r>
              <w:rPr>
                <w:rFonts w:ascii="Times New Roman;serif" w:hAnsi="Times New Roman;serif"/>
                <w:b w:val="false"/>
                <w:i/>
                <w:color w:val="000000"/>
                <w:sz w:val="20"/>
              </w:rPr>
              <w:t>interest expense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Third-party transaction costs included in </w:t>
            </w:r>
            <w:r>
              <w:rPr>
                <w:rFonts w:ascii="Times New Roman;serif" w:hAnsi="Times New Roman;serif"/>
                <w:b w:val="false"/>
                <w:i/>
                <w:color w:val="000000"/>
                <w:sz w:val="20"/>
              </w:rPr>
              <w:t>other operating expense</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Asset-Based Loan Facility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26, 2026, the Company had reserved $44,356 of its asset-based loan facility (“the ABL”) for the issuance of letters of credit and funds totaling $185,644 were available for borrowing under the ABL.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carrying value of the Company’s 2028 convertible senior notes as of June 26, 2026 and December 26, 2025 was:</w:t>
      </w:r>
    </w:p>
    <w:tbl>
      <w:tblPr>
        <w:tblW w:w="10205" w:type="dxa"/>
        <w:jc w:val="left"/>
        <w:tblInd w:w="0" w:type="dxa"/>
        <w:tblLayout w:type="fixed"/>
        <w:tblCellMar>
          <w:top w:w="28" w:type="dxa"/>
          <w:left w:w="28" w:type="dxa"/>
          <w:bottom w:w="28" w:type="dxa"/>
          <w:right w:w="28" w:type="dxa"/>
        </w:tblCellMar>
      </w:tblPr>
      <w:tblGrid>
        <w:gridCol w:w="403"/>
        <w:gridCol w:w="354"/>
        <w:gridCol w:w="355"/>
        <w:gridCol w:w="109"/>
        <w:gridCol w:w="109"/>
        <w:gridCol w:w="109"/>
        <w:gridCol w:w="212"/>
        <w:gridCol w:w="832"/>
        <w:gridCol w:w="109"/>
        <w:gridCol w:w="109"/>
        <w:gridCol w:w="109"/>
        <w:gridCol w:w="109"/>
        <w:gridCol w:w="274"/>
        <w:gridCol w:w="822"/>
        <w:gridCol w:w="143"/>
        <w:gridCol w:w="109"/>
        <w:gridCol w:w="109"/>
        <w:gridCol w:w="109"/>
        <w:gridCol w:w="211"/>
        <w:gridCol w:w="826"/>
        <w:gridCol w:w="109"/>
        <w:gridCol w:w="109"/>
        <w:gridCol w:w="109"/>
        <w:gridCol w:w="109"/>
        <w:gridCol w:w="212"/>
        <w:gridCol w:w="832"/>
        <w:gridCol w:w="109"/>
        <w:gridCol w:w="109"/>
        <w:gridCol w:w="109"/>
        <w:gridCol w:w="109"/>
        <w:gridCol w:w="274"/>
        <w:gridCol w:w="822"/>
        <w:gridCol w:w="143"/>
        <w:gridCol w:w="109"/>
        <w:gridCol w:w="109"/>
        <w:gridCol w:w="109"/>
        <w:gridCol w:w="211"/>
        <w:gridCol w:w="826"/>
        <w:gridCol w:w="164"/>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26, 2025</w:t>
            </w:r>
          </w:p>
        </w:tc>
      </w:tr>
      <w:tr>
        <w:trPr/>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Unamortized Deferred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Unamortized Deferred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w:t>
            </w:r>
          </w:p>
        </w:tc>
      </w:tr>
      <w:tr>
        <w:trPr/>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284,062 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interest expense on the Company’s convertible notes were as follows:</w:t>
      </w:r>
    </w:p>
    <w:tbl>
      <w:tblPr>
        <w:tblW w:w="9803" w:type="dxa"/>
        <w:jc w:val="left"/>
        <w:tblInd w:w="0" w:type="dxa"/>
        <w:tblLayout w:type="fixed"/>
        <w:tblCellMar>
          <w:top w:w="28" w:type="dxa"/>
          <w:left w:w="28" w:type="dxa"/>
          <w:bottom w:w="28" w:type="dxa"/>
          <w:right w:w="28" w:type="dxa"/>
        </w:tblCellMar>
      </w:tblPr>
      <w:tblGrid>
        <w:gridCol w:w="1332"/>
        <w:gridCol w:w="1166"/>
        <w:gridCol w:w="1177"/>
        <w:gridCol w:w="287"/>
        <w:gridCol w:w="839"/>
        <w:gridCol w:w="148"/>
        <w:gridCol w:w="109"/>
        <w:gridCol w:w="109"/>
        <w:gridCol w:w="109"/>
        <w:gridCol w:w="287"/>
        <w:gridCol w:w="839"/>
        <w:gridCol w:w="148"/>
        <w:gridCol w:w="109"/>
        <w:gridCol w:w="109"/>
        <w:gridCol w:w="109"/>
        <w:gridCol w:w="286"/>
        <w:gridCol w:w="840"/>
        <w:gridCol w:w="148"/>
        <w:gridCol w:w="111"/>
        <w:gridCol w:w="111"/>
        <w:gridCol w:w="111"/>
        <w:gridCol w:w="283"/>
        <w:gridCol w:w="830"/>
        <w:gridCol w:w="206"/>
      </w:tblGrid>
      <w:tr>
        <w:trPr/>
        <w:tc>
          <w:tcPr>
            <w:tcW w:w="133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Thirteen Weeks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costs and premium</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activity of RSAs and RSUs during the twenty-six weeks ended June 26, 2026:</w:t>
      </w:r>
    </w:p>
    <w:tbl>
      <w:tblPr>
        <w:tblW w:w="10205" w:type="dxa"/>
        <w:jc w:val="left"/>
        <w:tblInd w:w="0" w:type="dxa"/>
        <w:tblLayout w:type="fixed"/>
        <w:tblCellMar>
          <w:top w:w="28" w:type="dxa"/>
          <w:left w:w="28" w:type="dxa"/>
          <w:bottom w:w="28" w:type="dxa"/>
          <w:right w:w="28" w:type="dxa"/>
        </w:tblCellMar>
      </w:tblPr>
      <w:tblGrid>
        <w:gridCol w:w="464"/>
        <w:gridCol w:w="407"/>
        <w:gridCol w:w="410"/>
        <w:gridCol w:w="109"/>
        <w:gridCol w:w="109"/>
        <w:gridCol w:w="109"/>
        <w:gridCol w:w="425"/>
        <w:gridCol w:w="426"/>
        <w:gridCol w:w="226"/>
        <w:gridCol w:w="109"/>
        <w:gridCol w:w="109"/>
        <w:gridCol w:w="109"/>
        <w:gridCol w:w="259"/>
        <w:gridCol w:w="756"/>
        <w:gridCol w:w="133"/>
        <w:gridCol w:w="109"/>
        <w:gridCol w:w="109"/>
        <w:gridCol w:w="109"/>
        <w:gridCol w:w="488"/>
        <w:gridCol w:w="488"/>
        <w:gridCol w:w="226"/>
        <w:gridCol w:w="122"/>
        <w:gridCol w:w="122"/>
        <w:gridCol w:w="122"/>
        <w:gridCol w:w="279"/>
        <w:gridCol w:w="815"/>
        <w:gridCol w:w="148"/>
        <w:gridCol w:w="109"/>
        <w:gridCol w:w="109"/>
        <w:gridCol w:w="109"/>
        <w:gridCol w:w="413"/>
        <w:gridCol w:w="413"/>
        <w:gridCol w:w="226"/>
        <w:gridCol w:w="109"/>
        <w:gridCol w:w="109"/>
        <w:gridCol w:w="109"/>
        <w:gridCol w:w="256"/>
        <w:gridCol w:w="750"/>
        <w:gridCol w:w="196"/>
      </w:tblGrid>
      <w:tr>
        <w:trPr/>
        <w:tc>
          <w:tcPr>
            <w:tcW w:w="46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Time-Based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Market-Based</w:t>
            </w:r>
          </w:p>
        </w:tc>
      </w:tr>
      <w:tr>
        <w:trPr/>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 Date Fair Value</w:t>
            </w:r>
          </w:p>
        </w:tc>
      </w:tr>
      <w:tr>
        <w:trPr/>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26,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470,866 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1,307,313 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175,786 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(186,759)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(119,145)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(86,329)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26,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477,753 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1,238,337 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122,992 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granted 439,275 RSAs and RSUs to its employees and directors at a weighted average grant date fair value of $72.71 during the twenty-six weeks ended June 26, 2026. These awards are a mix of time-, market- and performance-based grants that generally vest over a range of periods up to five years. The Company recognized expense on its RSAs and RSUs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totaling $6,304 and $4,223 during the thirteen weeks ended June 26, 2026 and June 27, 2025, respectively, and $10,443 and $8,344 during the twenty-six weeks ended June 26, 2026 and June 27, 2025, respectively. No share-based compensation expense has been capitalized.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June 26, 2026, the total unrecognized compensation cost for unvested RSAs and RSUs was $40,196 and the weighted-average remaining period was approximately 1.9 years. Of this total, $24,959 related to awards with time-based vesting provisions and $15,237 related to awards with performance- and market-based vesting provisions. At June 26, 2026, the weighted-average remaining period for time-based vesting and performance-based vesting RSAs and RSUs were approximately 1.8 years and 2.0 years,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2023, the Company announced a two-year share repurchase program in an amount up to $100,000. In February 2026, the board of directors authorized the extension of the share repurchase program for ten years, subject to that same $100,000 limit. The remaining share purchase authorization was $57,617 at June 26, 2026. The Company is not obligated to repurchase any specific number of shares and may suspend or discontinue the program at any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Income Taxes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was 31.4% and 28.0% for the thirteen weeks ended June 26, 2026 and June 27, 2025, respectively, and 28.9% and 24.9% for the twenty-six weeks ended June 26, 2026 and June 27, 2025, respectively. Both periods include the impact of a discrete item related to a tax benefit from the vesting of stock awards. The effective tax rate otherwise varies from the 21% statutory rate primarily due to state taxes and permanent adjustments.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a result of a five year carryback allowed under the Coronavirus Aid, Relief, and Economic Security Act (“CARES Act”), the Company carried back its 2020 federal income tax loss, which resulted in an income tax refund receivable of $27,670 as of June 26, 2026. The receivable is reflected in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on the Company’s condensed consolidated balance sheet.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business consists of three operating segments: East, Midwest and West that aggregate into one reportable segment, foodservice distribution, which is concentrated primarily in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of the foodservice distribution segment are the same as those for the consolidated company. The Company’s chief operating decision maker, who is the Company’s chief executive officer, uses gross profit as the measure of profit or loss to assess segment performance and allocate resources.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gross profit, reported on the statement of operations and comprehensive income, is used to evaluate whether to reinvest profits into the foodservice distribution segment or into other parts of the entity, such as for acquisitions or to repurchase its common shares. Additionally, gross profit is used to monitor budget versus actual results and in competitive analysis by benchmarking to the Company’s competitors. Consolidated total assets, reported on the balance sheet, is the measure of segment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foodservice distribution segment:</w:t>
      </w:r>
    </w:p>
    <w:tbl>
      <w:tblPr>
        <w:tblW w:w="9615" w:type="dxa"/>
        <w:jc w:val="left"/>
        <w:tblInd w:w="0" w:type="dxa"/>
        <w:tblLayout w:type="fixed"/>
        <w:tblCellMar>
          <w:top w:w="28" w:type="dxa"/>
          <w:left w:w="28" w:type="dxa"/>
          <w:bottom w:w="28" w:type="dxa"/>
          <w:right w:w="28" w:type="dxa"/>
        </w:tblCellMar>
      </w:tblPr>
      <w:tblGrid>
        <w:gridCol w:w="1261"/>
        <w:gridCol w:w="1105"/>
        <w:gridCol w:w="103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sales </w:t>
            </w:r>
            <w:r>
              <w:rPr>
                <w:rFonts w:ascii="Times New Roman;serif" w:hAnsi="Times New Roman;serif"/>
                <w:b w:val="false"/>
                <w:color w:val="000000"/>
                <w:sz w:val="13"/>
              </w:rPr>
              <w:t>(1):</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sales - non-production costs </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sales - food processing costs </w:t>
            </w:r>
            <w:r>
              <w:rPr>
                <w:rFonts w:ascii="Times New Roman;serif" w:hAnsi="Times New Roman;serif"/>
                <w:b w:val="false"/>
                <w:color w:val="000000"/>
                <w:sz w:val="13"/>
              </w:rPr>
              <w:t>(3)(4)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1,505,320 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Company’s revenue is disaggregated by geographic area based on sales office location. No country outside of the United States had revenue greater than 10% of consolidated revenue for the thirteen and twenty-six weeks ended June 26, 2026 and June 27, 2025.</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Non-production costs represent the net purchase price paid for products sold, plus the cost of transportation necessary to bring the product to the Company’s distribution facilities. Non-production costs include purchase incentives and product purchase credits from certain vendors.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Food processing costs include, but are not limited to, direct labor and benefits, applicable overhead and depreciation of equipment and facilities used in food processing activities.</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Food processing costs included $236 and $257 of depreciation expense for the thirteen weeks ended June 26, 2026 and June 27, 2025, respectively, $478 and $518 for the twenty-six weeks ended June 26, 2026 and June 27, 2025, respectively.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Refer to the condensed consolidated statements of operations and comprehensive income for the reconciliation of consolidated gross profit, which is the Company’s segment measure of profit or loss, to consolidated income before income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Supplemental Disclosures of Cash Flow Information</w:t>
      </w:r>
    </w:p>
    <w:tbl>
      <w:tblPr>
        <w:tblW w:w="8786" w:type="dxa"/>
        <w:jc w:val="left"/>
        <w:tblInd w:w="0" w:type="dxa"/>
        <w:tblLayout w:type="fixed"/>
        <w:tblCellMar>
          <w:top w:w="28" w:type="dxa"/>
          <w:left w:w="28" w:type="dxa"/>
          <w:bottom w:w="28" w:type="dxa"/>
          <w:right w:w="28" w:type="dxa"/>
        </w:tblCellMar>
      </w:tblPr>
      <w:tblGrid>
        <w:gridCol w:w="2123"/>
        <w:gridCol w:w="1869"/>
        <w:gridCol w:w="1873"/>
        <w:gridCol w:w="258"/>
        <w:gridCol w:w="883"/>
        <w:gridCol w:w="133"/>
        <w:gridCol w:w="109"/>
        <w:gridCol w:w="109"/>
        <w:gridCol w:w="109"/>
        <w:gridCol w:w="256"/>
        <w:gridCol w:w="877"/>
        <w:gridCol w:w="187"/>
      </w:tblGrid>
      <w:tr>
        <w:trPr/>
        <w:tc>
          <w:tcPr>
            <w:tcW w:w="21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disclosures: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cash received</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lease liabilities: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(“MD&amp;A”) is provided as a supplement to the accompanying condensed consolidated financial statements and footnotes to help provide an understanding of our financial condition, changes in our financial condition and results of operations. The following discussion should be read in conjunction with information included in our Annual Report on Form 10-K for the fiscal year ended December 26, 2025 (the “2025 Form 10-K”) filed with the SEC. Unless otherwise indicated, the terms “Company”, “Chefs’ Warehouse”, “we”, “us” and “our” refer to The Chefs’ Warehouse, Inc. and its subsidiaries. All dollar amounts included in the tables in the following discussion are presented in thousands.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Overview</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premier distributor of specialty foods in the leading culinary markets in the United States, the Middle East and Canada. We offer more than 90,000 stock-keeping units (“SKUs”), ranging from high-quality specialty foods and ingredients to basic ingredients and staples and center-of-the-plate proteins, such as beef, seafood and poultry. We serve more than 55,000 core customer locations, primarily located in our 23 geographic markets across the United States, the Middle East and Canada, and the majority of our customers are independent restaurants and fine dining establishments. We also sell certain of our center-of-the-plate products directly to consumers through our Allen Brothers subsidiary.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Performance Indicators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assessing the performance of our business, our management team considers a variety of performance and financial measures. The key measures used by our management are discussed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Net sales growth.</w:t>
      </w:r>
      <w:r>
        <w:rPr>
          <w:color w:val="000000"/>
        </w:rPr>
        <w:t xml:space="preserve"> </w:t>
      </w:r>
      <w:r>
        <w:rPr>
          <w:rFonts w:ascii="Times New Roman;serif" w:hAnsi="Times New Roman;serif"/>
          <w:b w:val="false"/>
          <w:color w:val="000000"/>
          <w:sz w:val="20"/>
        </w:rPr>
        <w:t xml:space="preserve">Our net sales growth is driven principally by changes in volume and, to a lesser degree, changes in price related to the impact of inflation in commodity prices and product mix. In particular, product cost inflation and deflation impact our results of operations and, depending on the amount of inflation or deflation, such impact may be material. For example, inflation may increase the dollar value of our sales, and deflation may cause the dollar value of our sales to fall despite our unit sales remaining constant or growing.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Gross profit and gross profit margin.</w:t>
      </w:r>
      <w:r>
        <w:rPr>
          <w:color w:val="000000"/>
        </w:rPr>
        <w:t xml:space="preserve"> </w:t>
      </w:r>
      <w:r>
        <w:rPr>
          <w:rFonts w:ascii="Times New Roman;serif" w:hAnsi="Times New Roman;serif"/>
          <w:b w:val="false"/>
          <w:color w:val="000000"/>
          <w:sz w:val="20"/>
        </w:rPr>
        <w:t xml:space="preserve">Our gross profit and gross profit as a percentage of net sales, or gross profit margin, are driven principally by changes in volume and fluctuations in food and commodity prices and our ability to pass on any price increases to our customers in an inflationary environment and maintain or increase gross profit margin when our costs decline.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Inflation.</w:t>
      </w:r>
      <w:r>
        <w:rPr>
          <w:color w:val="000000"/>
        </w:rPr>
        <w:t xml:space="preserve"> </w:t>
      </w:r>
      <w:r>
        <w:rPr>
          <w:rFonts w:ascii="Times New Roman;serif" w:hAnsi="Times New Roman;serif"/>
          <w:b w:val="false"/>
          <w:color w:val="000000"/>
          <w:sz w:val="20"/>
        </w:rPr>
        <w:t>The majority of our pricing is set at the time of order and we typically pass cost increases or decreases to our customers. Our ability to fully pass along cost changes and the timing of those changes can cause fluctuations in our gross profit margin. Also, some of our pricing to customers is based on a cost-plus methodology, which impacts gross profit in periods of cost inflation or deflation.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Product Mix.</w:t>
      </w:r>
      <w:r>
        <w:rPr>
          <w:color w:val="000000"/>
        </w:rPr>
        <w:t xml:space="preserve"> </w:t>
      </w:r>
      <w:r>
        <w:rPr>
          <w:rFonts w:ascii="Times New Roman;serif" w:hAnsi="Times New Roman;serif"/>
          <w:b w:val="false"/>
          <w:color w:val="000000"/>
          <w:sz w:val="20"/>
        </w:rPr>
        <w:t>Our gross profit margin is also a function of the product mix of our net sales in any period. Given our wide selection of product categories, as well as the continuous introduction of new products, we can experience shifts in product sales mix that have an impact on net sales and gross profit margins. Product mix is most significantly impacted by the introduction of new product categories in markets that we have more recently entered and from acquisitions, as well as the continued growth in item penetration on higher velocity items such as dairy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Volume Measurements.</w:t>
      </w:r>
      <w:r>
        <w:rPr>
          <w:color w:val="000000"/>
        </w:rPr>
        <w:t xml:space="preserve"> </w:t>
      </w:r>
      <w:r>
        <w:rPr>
          <w:rFonts w:ascii="Times New Roman;serif" w:hAnsi="Times New Roman;serif"/>
          <w:b w:val="false"/>
          <w:color w:val="000000"/>
          <w:sz w:val="20"/>
        </w:rPr>
        <w:t xml:space="preserve">In assessing our results, we utilize both total and organic growth, which excludes growth from an acquired business until it has been reflected in our results of operations for at least 12 months. We use case count as the volume measurement in our specialty product category and pounds sold as the volume measurement in our center-of-the-plate category.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Case count. </w:t>
      </w:r>
      <w:r>
        <w:rPr>
          <w:rFonts w:ascii="Times New Roman;serif" w:hAnsi="Times New Roman;serif"/>
          <w:b w:val="false"/>
          <w:color w:val="000000"/>
          <w:sz w:val="20"/>
        </w:rPr>
        <w:t xml:space="preserve">Case count represents the volume of specialty products sold to customers during a given time period. Case growth is calculated by dividing the change in case volumes sold by the number of cases sold in the prior period. We define a case as the lowest level of packaged products as received from our suppliers, with one case containing several individually packaged units of the same product. Where individual packaged units are sold separately, case volume is calculated using the case equivalent quantity sold.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Pounds sold. </w:t>
      </w:r>
      <w:r>
        <w:rPr>
          <w:rFonts w:ascii="Times New Roman;serif" w:hAnsi="Times New Roman;serif"/>
          <w:b w:val="false"/>
          <w:color w:val="000000"/>
          <w:sz w:val="20"/>
        </w:rPr>
        <w:t>Pounds represent the volume of center-of-the-plate products sold to customers during a given time period. Pounds growth is calculated by dividing the change in pound volumes sold by the number of pounds sold in the prior period.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Other Performance Indicators.</w:t>
      </w:r>
      <w:r>
        <w:rPr>
          <w:color w:val="000000"/>
        </w:rPr>
        <w:t xml:space="preserve"> </w:t>
      </w:r>
      <w:r>
        <w:rPr>
          <w:rFonts w:ascii="Times New Roman;serif" w:hAnsi="Times New Roman;serif"/>
          <w:b w:val="false"/>
          <w:color w:val="000000"/>
          <w:sz w:val="20"/>
        </w:rPr>
        <w:t>While case count is used for the volume measurement in the specialty category, we also disclose changes in specialty unique customers and specialty placements to provide additional context to our results and to the performance of our business. We define unique customers as the number of customers who purchase product in a given week. Each customer, regardless of the number of deliveries made during the week, is counted only once. Placements is the sum of the unique stock-keeping units (“SKUs”) sold per customer, also in a given week. Our customer count and placements measures are subject to adjustments for acquisitions, consolidations, spin-offs, and other market activity, and we present these measures for historical periods reflecting these adjustments.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Acquisitions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O</w:t>
      </w:r>
      <w:r>
        <w:rPr>
          <w:rFonts w:ascii="Times New Roman;serif" w:hAnsi="Times New Roman;serif"/>
          <w:b w:val="false"/>
          <w:color w:val="000000"/>
          <w:sz w:val="20"/>
        </w:rPr>
        <w:t xml:space="preserve">n October 1, 2025, we entered into an asset purchase agreement to acquire substantially all of the assets of Italco Food Products (“Italco”), a premier specialty food distributor based in Denver, Colorado.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tbl>
      <w:tblPr>
        <w:tblW w:w="9945" w:type="dxa"/>
        <w:jc w:val="center"/>
        <w:tblInd w:w="0" w:type="dxa"/>
        <w:tblLayout w:type="fixed"/>
        <w:tblCellMar>
          <w:top w:w="28" w:type="dxa"/>
          <w:left w:w="28" w:type="dxa"/>
          <w:bottom w:w="28" w:type="dxa"/>
          <w:right w:w="28" w:type="dxa"/>
        </w:tblCellMar>
      </w:tblPr>
      <w:tblGrid>
        <w:gridCol w:w="1600"/>
        <w:gridCol w:w="1059"/>
        <w:gridCol w:w="107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Thirteen Weeks Ended June 26, 2026 Compared to Thirteen Weeks Ended June 27,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Net Sales</w:t>
      </w:r>
    </w:p>
    <w:tbl>
      <w:tblPr>
        <w:tblW w:w="6683" w:type="dxa"/>
        <w:jc w:val="center"/>
        <w:tblInd w:w="0" w:type="dxa"/>
        <w:tblLayout w:type="fixed"/>
        <w:tblCellMar>
          <w:top w:w="28" w:type="dxa"/>
          <w:left w:w="28" w:type="dxa"/>
          <w:bottom w:w="28" w:type="dxa"/>
          <w:right w:w="28" w:type="dxa"/>
        </w:tblCellMar>
      </w:tblPr>
      <w:tblGrid>
        <w:gridCol w:w="304"/>
        <w:gridCol w:w="266"/>
        <w:gridCol w:w="26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Organic growth contributed $126.1 million, or 12.2%, to sales growth and the remaining growth of $7.6 million, or 0.7%, primarily resulted from our acquisition of Italco. Organic case count increased approximately 6.0% in our specialty category, representing an increase in net sales of $38.7 million. In addition, unique customers and placements in our specialty category increased 3.6% and 7.2%, respectively, compared to the prior year quarter. Organic pounds sold in our center-of-the-plate category increased 8.8% compared to the prior year quarter, representing an increase in net sales of $34.8 million. Estimated inflation increased sales by $25.7 million, or 4.0% in our specialty category and by $25.2 million, or 6.4% in our center-of-the-plate category compared to the prior year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Gross Profit</w:t>
      </w:r>
    </w:p>
    <w:tbl>
      <w:tblPr>
        <w:tblW w:w="7442" w:type="dxa"/>
        <w:jc w:val="center"/>
        <w:tblInd w:w="0" w:type="dxa"/>
        <w:tblLayout w:type="fixed"/>
        <w:tblCellMar>
          <w:top w:w="28" w:type="dxa"/>
          <w:left w:w="28" w:type="dxa"/>
          <w:bottom w:w="28" w:type="dxa"/>
          <w:right w:w="28" w:type="dxa"/>
        </w:tblCellMar>
      </w:tblPr>
      <w:tblGrid>
        <w:gridCol w:w="609"/>
        <w:gridCol w:w="532"/>
        <w:gridCol w:w="538"/>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614"/>
      </w:tblGrid>
      <w:tr>
        <w:trPr/>
        <w:tc>
          <w:tcPr>
            <w:tcW w:w="6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dollars increased $32.9 million as a result of sales growth, which includes inflation and acquisitions, with the remainder of the increase primarily due to improved gross profit margin rates. Gross profit margin increased approximately 49 basis points due to effective pricing in an inflationary “food away from home” environment and product cost management. Gross profit margins increased 47 basis points in the Company’s specialty category, or $3.4 million, and increased 75 basis points in the Company’s center-of-the-plate category, or $3.4 million, compared to the prior year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tbl>
      <w:tblPr>
        <w:tblW w:w="9409" w:type="dxa"/>
        <w:jc w:val="center"/>
        <w:tblInd w:w="0" w:type="dxa"/>
        <w:tblLayout w:type="fixed"/>
        <w:tblCellMar>
          <w:top w:w="28" w:type="dxa"/>
          <w:left w:w="28" w:type="dxa"/>
          <w:bottom w:w="28" w:type="dxa"/>
          <w:right w:w="28" w:type="dxa"/>
        </w:tblCellMar>
      </w:tblPr>
      <w:tblGrid>
        <w:gridCol w:w="1354"/>
        <w:gridCol w:w="1189"/>
        <w:gridCol w:w="1192"/>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11"/>
        <w:gridCol w:w="211"/>
        <w:gridCol w:w="614"/>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was primarily due to higher costs associated with compensation and benefits, facilities and distribution to support sales growth and higher depreciation expense driven by facility and fleet investments. Our ratio of selling, general and administrative expenses to net sales decreased 70 basis points due to improved fixed cost leverage.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Operating Expenses, Net</w:t>
      </w:r>
    </w:p>
    <w:tbl>
      <w:tblPr>
        <w:tblW w:w="7069" w:type="dxa"/>
        <w:jc w:val="center"/>
        <w:tblInd w:w="0" w:type="dxa"/>
        <w:tblLayout w:type="fixed"/>
        <w:tblCellMar>
          <w:top w:w="28" w:type="dxa"/>
          <w:left w:w="28" w:type="dxa"/>
          <w:bottom w:w="28" w:type="dxa"/>
          <w:right w:w="28" w:type="dxa"/>
        </w:tblCellMar>
      </w:tblPr>
      <w:tblGrid>
        <w:gridCol w:w="912"/>
        <w:gridCol w:w="803"/>
        <w:gridCol w:w="805"/>
        <w:gridCol w:w="211"/>
        <w:gridCol w:w="361"/>
        <w:gridCol w:w="109"/>
        <w:gridCol w:w="109"/>
        <w:gridCol w:w="109"/>
        <w:gridCol w:w="109"/>
        <w:gridCol w:w="211"/>
        <w:gridCol w:w="466"/>
        <w:gridCol w:w="109"/>
        <w:gridCol w:w="109"/>
        <w:gridCol w:w="109"/>
        <w:gridCol w:w="109"/>
        <w:gridCol w:w="237"/>
        <w:gridCol w:w="541"/>
        <w:gridCol w:w="123"/>
        <w:gridCol w:w="109"/>
        <w:gridCol w:w="109"/>
        <w:gridCol w:w="109"/>
        <w:gridCol w:w="293"/>
        <w:gridCol w:w="293"/>
        <w:gridCol w:w="614"/>
      </w:tblGrid>
      <w:tr>
        <w:trP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 decreased by $0.3 million primarily due to lower asset disposal losses during the thirteen weeks ended June 26, 2026 compared to the prior year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tbl>
      <w:tblPr>
        <w:tblW w:w="6593" w:type="dxa"/>
        <w:jc w:val="center"/>
        <w:tblInd w:w="0" w:type="dxa"/>
        <w:tblLayout w:type="fixed"/>
        <w:tblCellMar>
          <w:top w:w="28" w:type="dxa"/>
          <w:left w:w="28" w:type="dxa"/>
          <w:bottom w:w="28" w:type="dxa"/>
          <w:right w:w="28" w:type="dxa"/>
        </w:tblCellMar>
      </w:tblPr>
      <w:tblGrid>
        <w:gridCol w:w="516"/>
        <w:gridCol w:w="452"/>
        <w:gridCol w:w="456"/>
        <w:gridCol w:w="211"/>
        <w:gridCol w:w="616"/>
        <w:gridCol w:w="109"/>
        <w:gridCol w:w="109"/>
        <w:gridCol w:w="109"/>
        <w:gridCol w:w="109"/>
        <w:gridCol w:w="211"/>
        <w:gridCol w:w="721"/>
        <w:gridCol w:w="109"/>
        <w:gridCol w:w="109"/>
        <w:gridCol w:w="109"/>
        <w:gridCol w:w="109"/>
        <w:gridCol w:w="211"/>
        <w:gridCol w:w="691"/>
        <w:gridCol w:w="109"/>
        <w:gridCol w:w="109"/>
        <w:gridCol w:w="109"/>
        <w:gridCol w:w="109"/>
        <w:gridCol w:w="293"/>
        <w:gridCol w:w="293"/>
        <w:gridCol w:w="61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primarily due to lower fees and losses associated with debt transactions, as well as lower aggregate principal amounts of debt outstanding and lower interest rates in the current period compared to the prior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 Expense</w:t>
      </w:r>
    </w:p>
    <w:tbl>
      <w:tblPr>
        <w:tblW w:w="8162" w:type="dxa"/>
        <w:jc w:val="center"/>
        <w:tblInd w:w="0" w:type="dxa"/>
        <w:tblLayout w:type="fixed"/>
        <w:tblCellMar>
          <w:top w:w="28" w:type="dxa"/>
          <w:left w:w="28" w:type="dxa"/>
          <w:bottom w:w="28" w:type="dxa"/>
          <w:right w:w="28" w:type="dxa"/>
        </w:tblCellMar>
      </w:tblPr>
      <w:tblGrid>
        <w:gridCol w:w="1020"/>
        <w:gridCol w:w="898"/>
        <w:gridCol w:w="901"/>
        <w:gridCol w:w="211"/>
        <w:gridCol w:w="721"/>
        <w:gridCol w:w="271"/>
        <w:gridCol w:w="109"/>
        <w:gridCol w:w="109"/>
        <w:gridCol w:w="109"/>
        <w:gridCol w:w="211"/>
        <w:gridCol w:w="616"/>
        <w:gridCol w:w="271"/>
        <w:gridCol w:w="109"/>
        <w:gridCol w:w="109"/>
        <w:gridCol w:w="109"/>
        <w:gridCol w:w="211"/>
        <w:gridCol w:w="616"/>
        <w:gridCol w:w="109"/>
        <w:gridCol w:w="109"/>
        <w:gridCol w:w="109"/>
        <w:gridCol w:w="109"/>
        <w:gridCol w:w="255"/>
        <w:gridCol w:w="256"/>
        <w:gridCol w:w="61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was 31.4% and 28.0% for the thirteen weeks ended June 26, 2026 and June 27, 2025, respectively. The increase in the effective tax rate for the thirteen weeks ended June 26, 2026 resulted from increased permanent tax differences related to compensation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Twenty-Six Weeks Ended June 26, 2026 Compared to Twenty-Six Weeks Ended June 27,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Net Sales</w:t>
      </w:r>
    </w:p>
    <w:tbl>
      <w:tblPr>
        <w:tblW w:w="6683" w:type="dxa"/>
        <w:jc w:val="center"/>
        <w:tblInd w:w="0" w:type="dxa"/>
        <w:tblLayout w:type="fixed"/>
        <w:tblCellMar>
          <w:top w:w="28" w:type="dxa"/>
          <w:left w:w="28" w:type="dxa"/>
          <w:bottom w:w="28" w:type="dxa"/>
          <w:right w:w="28" w:type="dxa"/>
        </w:tblCellMar>
      </w:tblPr>
      <w:tblGrid>
        <w:gridCol w:w="304"/>
        <w:gridCol w:w="266"/>
        <w:gridCol w:w="26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Organic growth contributed $224.4 million, or 11.3%, to sales growth and the remaining growth of $17.6 million, or 0.9%, primarily resulted from our acquisition of Italco. Organic case count increased approximately 6.0% in our specialty category, representing an increase in net sales of $72.3 million. In addition, unique customers and placements in our specialty category increased 2.8% and 6.7%, respectively, compared to the prior year period. Organic pounds sold in our center-of-the-plate category increased 7.6% compared to the prior year period, representing an increase in net sales of $56.9 million. Estimated inflation increased sales by $34.7 million, or 2.8%, in our specialty category and by $55.0 million, or 7.3%, in our center-of-the-plate category compared to the prior year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Gross Profit</w:t>
      </w:r>
    </w:p>
    <w:tbl>
      <w:tblPr>
        <w:tblW w:w="7442" w:type="dxa"/>
        <w:jc w:val="center"/>
        <w:tblInd w:w="0" w:type="dxa"/>
        <w:tblLayout w:type="fixed"/>
        <w:tblCellMar>
          <w:top w:w="28" w:type="dxa"/>
          <w:left w:w="28" w:type="dxa"/>
          <w:bottom w:w="28" w:type="dxa"/>
          <w:right w:w="28" w:type="dxa"/>
        </w:tblCellMar>
      </w:tblPr>
      <w:tblGrid>
        <w:gridCol w:w="609"/>
        <w:gridCol w:w="532"/>
        <w:gridCol w:w="538"/>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614"/>
      </w:tblGrid>
      <w:tr>
        <w:trPr/>
        <w:tc>
          <w:tcPr>
            <w:tcW w:w="6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480,334 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dollars increased $58.5 million as a result of sales growth, which includes inflation and acquisitions, with the remainder of the increase primarily due to improved gross profit margin rates. Gross profit margin increased approximately 51 basis points due to effective pricing in an inflationary “food away from home” environment and product cost management. Gross profit margins increased 46 basis points in the Company’s specialty category, or $6.2 million, and increased 92 basis points in the Company’s center-of-the-plate category, or $8.1 million, compared to the prior year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tbl>
      <w:tblPr>
        <w:tblW w:w="9498" w:type="dxa"/>
        <w:jc w:val="center"/>
        <w:tblInd w:w="0" w:type="dxa"/>
        <w:tblLayout w:type="fixed"/>
        <w:tblCellMar>
          <w:top w:w="28" w:type="dxa"/>
          <w:left w:w="28" w:type="dxa"/>
          <w:bottom w:w="28" w:type="dxa"/>
          <w:right w:w="28" w:type="dxa"/>
        </w:tblCellMar>
      </w:tblPr>
      <w:tblGrid>
        <w:gridCol w:w="1354"/>
        <w:gridCol w:w="1189"/>
        <w:gridCol w:w="1192"/>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614"/>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was primarily due to higher costs associated with compensation and benefits, facilities and distribution to support sales growth, and higher depreciation expense driven by facility and fleet investments. Our ratio of selling, general and administrative expenses to net sales decreased 40 basis points due to sales growth combined with certain benefits derived from our investments in our facility and distribution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Operating Expenses, Net</w:t>
      </w:r>
    </w:p>
    <w:tbl>
      <w:tblPr>
        <w:tblW w:w="7174" w:type="dxa"/>
        <w:jc w:val="center"/>
        <w:tblInd w:w="0" w:type="dxa"/>
        <w:tblLayout w:type="fixed"/>
        <w:tblCellMar>
          <w:top w:w="28" w:type="dxa"/>
          <w:left w:w="28" w:type="dxa"/>
          <w:bottom w:w="28" w:type="dxa"/>
          <w:right w:w="28" w:type="dxa"/>
        </w:tblCellMar>
      </w:tblPr>
      <w:tblGrid>
        <w:gridCol w:w="912"/>
        <w:gridCol w:w="803"/>
        <w:gridCol w:w="805"/>
        <w:gridCol w:w="211"/>
        <w:gridCol w:w="466"/>
        <w:gridCol w:w="109"/>
        <w:gridCol w:w="109"/>
        <w:gridCol w:w="109"/>
        <w:gridCol w:w="109"/>
        <w:gridCol w:w="211"/>
        <w:gridCol w:w="466"/>
        <w:gridCol w:w="109"/>
        <w:gridCol w:w="109"/>
        <w:gridCol w:w="109"/>
        <w:gridCol w:w="109"/>
        <w:gridCol w:w="237"/>
        <w:gridCol w:w="541"/>
        <w:gridCol w:w="123"/>
        <w:gridCol w:w="109"/>
        <w:gridCol w:w="109"/>
        <w:gridCol w:w="109"/>
        <w:gridCol w:w="293"/>
        <w:gridCol w:w="293"/>
        <w:gridCol w:w="614"/>
      </w:tblGrid>
      <w:tr>
        <w:trP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other operating expense, net was primarily due to lower third-party deal costs and asset disposal losses during the twenty-six weeks ended June 26, 2026 compared to the prior year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Expense</w:t>
      </w:r>
    </w:p>
    <w:tbl>
      <w:tblPr>
        <w:tblW w:w="6592" w:type="dxa"/>
        <w:jc w:val="center"/>
        <w:tblInd w:w="0" w:type="dxa"/>
        <w:tblLayout w:type="fixed"/>
        <w:tblCellMar>
          <w:top w:w="28" w:type="dxa"/>
          <w:left w:w="28" w:type="dxa"/>
          <w:bottom w:w="28" w:type="dxa"/>
          <w:right w:w="28" w:type="dxa"/>
        </w:tblCellMar>
      </w:tblPr>
      <w:tblGrid>
        <w:gridCol w:w="516"/>
        <w:gridCol w:w="452"/>
        <w:gridCol w:w="456"/>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40"/>
        <w:gridCol w:w="240"/>
        <w:gridCol w:w="61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primarily due to lower aggregate principal amounts of debt outstanding and lower interest rates in the current period compared to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8372" w:type="dxa"/>
        <w:jc w:val="center"/>
        <w:tblInd w:w="0" w:type="dxa"/>
        <w:tblLayout w:type="fixed"/>
        <w:tblCellMar>
          <w:top w:w="28" w:type="dxa"/>
          <w:left w:w="28" w:type="dxa"/>
          <w:bottom w:w="28" w:type="dxa"/>
          <w:right w:w="28" w:type="dxa"/>
        </w:tblCellMar>
      </w:tblPr>
      <w:tblGrid>
        <w:gridCol w:w="1020"/>
        <w:gridCol w:w="898"/>
        <w:gridCol w:w="901"/>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55"/>
        <w:gridCol w:w="256"/>
        <w:gridCol w:w="61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was 28.9% and 24.9% for the twenty-six weeks ended June 26, 2026 and June 27, 2025, respectively. The increase in the effective tax rate for the twenty-six weeks ended June 26, 2026 resulted from increased permanent tax differences related to compensation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finance our day-to-day operations and growth primarily with cash flows from operations, borrowings under our senior secured credit facilities and other indebtedness, operating and finance leases, trade payables and equity financing.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12529"/>
          <w:sz w:val="20"/>
        </w:rPr>
      </w:pPr>
      <w:r>
        <w:rPr>
          <w:rFonts w:ascii="Times New Roman;serif" w:hAnsi="Times New Roman;serif"/>
          <w:b w:val="false"/>
          <w:color w:val="212529"/>
          <w:sz w:val="20"/>
        </w:rPr>
        <w:t xml:space="preserve">The following table presents selected financial information on our indebtedness: </w:t>
      </w:r>
    </w:p>
    <w:tbl>
      <w:tblPr>
        <w:tblW w:w="7924" w:type="dxa"/>
        <w:jc w:val="center"/>
        <w:tblInd w:w="0" w:type="dxa"/>
        <w:tblLayout w:type="fixed"/>
        <w:tblCellMar>
          <w:top w:w="28" w:type="dxa"/>
          <w:left w:w="28" w:type="dxa"/>
          <w:bottom w:w="28" w:type="dxa"/>
          <w:right w:w="28" w:type="dxa"/>
        </w:tblCellMar>
      </w:tblPr>
      <w:tblGrid>
        <w:gridCol w:w="1567"/>
        <w:gridCol w:w="1378"/>
        <w:gridCol w:w="1390"/>
        <w:gridCol w:w="234"/>
        <w:gridCol w:w="919"/>
        <w:gridCol w:w="121"/>
        <w:gridCol w:w="109"/>
        <w:gridCol w:w="109"/>
        <w:gridCol w:w="109"/>
        <w:gridCol w:w="317"/>
        <w:gridCol w:w="1244"/>
        <w:gridCol w:w="164"/>
        <w:gridCol w:w="109"/>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26,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252,000 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outstanding on asset-based loan facility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and other financing obligations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January 2026, we entered into an amendment to our senior secured term loan agreement, which reduced the interest rate spread by 50 basis points on our senior secured term loan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2023, we announced a two-year share repurchase program in an amount up to $100.0 million. In February 2026, the board of directors authorized the extension of the share repurchase program for ten years, subject to that same $100.0 million limit. During the twenty-six weeks ended June 26, 2026, we repurchased 156,861 shares of our common stock at an average purchase price of $63.75 per share. The share repurchases were funded by our available cash. The remaining share purchase authorization was $57.6 million at June 26, 2026. We are not obligated to repurchase any specific number of shares and may suspend or discontinue the program at any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12529"/>
          <w:sz w:val="20"/>
        </w:rPr>
      </w:pPr>
      <w:r>
        <w:rPr>
          <w:rFonts w:ascii="Times New Roman;serif" w:hAnsi="Times New Roman;serif"/>
          <w:b w:val="false"/>
          <w:color w:val="212529"/>
          <w:sz w:val="20"/>
        </w:rPr>
        <w:t xml:space="preserve">The following table presents selected financial information on liquidity: </w:t>
      </w:r>
    </w:p>
    <w:tbl>
      <w:tblPr>
        <w:tblW w:w="8268" w:type="dxa"/>
        <w:jc w:val="center"/>
        <w:tblInd w:w="0" w:type="dxa"/>
        <w:tblLayout w:type="fixed"/>
        <w:tblCellMar>
          <w:top w:w="28" w:type="dxa"/>
          <w:left w:w="28" w:type="dxa"/>
          <w:bottom w:w="28" w:type="dxa"/>
          <w:right w:w="28" w:type="dxa"/>
        </w:tblCellMar>
      </w:tblPr>
      <w:tblGrid>
        <w:gridCol w:w="1695"/>
        <w:gridCol w:w="1488"/>
        <w:gridCol w:w="1496"/>
        <w:gridCol w:w="234"/>
        <w:gridCol w:w="919"/>
        <w:gridCol w:w="121"/>
        <w:gridCol w:w="109"/>
        <w:gridCol w:w="109"/>
        <w:gridCol w:w="109"/>
        <w:gridCol w:w="317"/>
        <w:gridCol w:w="1244"/>
        <w:gridCol w:w="164"/>
        <w:gridCol w:w="109"/>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2315" w:type="dxa"/>
            <w:gridSpan w:val="8"/>
            <w:tcBorders/>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26,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Working capital</w:t>
            </w:r>
            <w:r>
              <w:rPr>
                <w:rFonts w:ascii="Times New Roman;serif" w:hAnsi="Times New Roman;serif"/>
                <w:b w:val="false"/>
                <w:color w:val="000000"/>
                <w:sz w:val="13"/>
              </w:rPr>
              <w:t>(1)</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excluding cash and cash equivalents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asset-based loan facility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 define working capital as current assets less current liabilities.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our capital expenditures, excluding cash paid for acquisitions, for fiscal 2026 will be approximately $45.0 million to $55.0 million. We believe our existing balances of cash and cash equivalents, working capital and the availability under our asset-based loan facility, are sufficient to satisfy our working capital needs, capital expenditures, debt service and other liquidity requirements associated with our current operations over the next twelve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12529"/>
          <w:sz w:val="20"/>
        </w:rPr>
      </w:pPr>
      <w:r>
        <w:rPr>
          <w:rFonts w:ascii="Times New Roman;serif" w:hAnsi="Times New Roman;serif"/>
          <w:b w:val="false"/>
          <w:color w:val="212529"/>
          <w:sz w:val="20"/>
        </w:rPr>
        <w:t xml:space="preserve">The following table presents selected financial information on cash flows: </w:t>
      </w:r>
    </w:p>
    <w:tbl>
      <w:tblPr>
        <w:tblW w:w="6603" w:type="dxa"/>
        <w:jc w:val="center"/>
        <w:tblInd w:w="0" w:type="dxa"/>
        <w:tblLayout w:type="fixed"/>
        <w:tblCellMar>
          <w:top w:w="28" w:type="dxa"/>
          <w:left w:w="28" w:type="dxa"/>
          <w:bottom w:w="28" w:type="dxa"/>
          <w:right w:w="28" w:type="dxa"/>
        </w:tblCellMar>
      </w:tblPr>
      <w:tblGrid>
        <w:gridCol w:w="1254"/>
        <w:gridCol w:w="1104"/>
        <w:gridCol w:w="1107"/>
        <w:gridCol w:w="258"/>
        <w:gridCol w:w="883"/>
        <w:gridCol w:w="133"/>
        <w:gridCol w:w="109"/>
        <w:gridCol w:w="109"/>
        <w:gridCol w:w="109"/>
        <w:gridCol w:w="258"/>
        <w:gridCol w:w="883"/>
        <w:gridCol w:w="133"/>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cash provided by operating activities is predominately driven by net sales to our customers. Our cash used in operating activities is primarily driven by our payments to suppliers for our inventory, employee compensation, payments to support our facilities, our distribution network, interest on our indebtedness, payments to tax authorities and other general corporate expenditures. Net cash provided by operations was $96.7 million for the twenty-six weeks ended June 26, 2026 compared to $64.1 million for the twenty-six weeks ended June 27, 2025. The increase in cash provided by operating activities was primarily due to sales growth and a strategic pull-forward of inventory purchases in the prior year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$17.2 million for the twenty-six weeks ended June 26, 2026, primarily driven by 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$64.9 million for the twenty-six weeks ended June 26, 2026 driven by $30.0 million of payments under our asset-based loan facility, $10.2 million of finance lease payments, $10.2 million paid for shares surrendered to pay tax withholding related to the vesting of equity incentive plan awards, $10.0 million used to repurchase our common stock and $6.5 million of payments of term loan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exposure to interest rate market risk relates primarily to our long-term debt. As of June 26, 2026, we had aggregate indebtedness outstanding of $315.5 million that bore interest at variable rates. A 100 basis point increase in market interest rates would decrease our after-tax earnings by approximately $2.2 million per annum, holding other variables constant.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as amended (the “Exchange Act”)) as of the end of the period covered by this report. Based on that evaluation, the Chief Executive Officer and the Chief Financial Officer concluded that the Company's disclosure controls and procedures were effective as of June 26,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quarter ended June 26, 2026 that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involved in legal proceedings, claims and litigation arising out of the ordinary conduct of our business. Although we cannot assure the outcome, management presently believes that the result of such legal proceedings, either individually or in the aggregate, will not have a material adverse effect on our condensed consolidated financial statements, and no material amounts have been accrued in our condensed consolidated financial statements with respect to these matters.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risk factors as previously disclosed in Part I, Item 1A. included in our Annual Report on Form 10-K for the year ended December 26, 2025. In addition to the information contained herein, you should consider the risk factors disclosed in our Annual Report on Form 10-K.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869"/>
        <w:gridCol w:w="761"/>
        <w:gridCol w:w="769"/>
        <w:gridCol w:w="109"/>
        <w:gridCol w:w="109"/>
        <w:gridCol w:w="109"/>
        <w:gridCol w:w="446"/>
        <w:gridCol w:w="446"/>
        <w:gridCol w:w="447"/>
        <w:gridCol w:w="109"/>
        <w:gridCol w:w="109"/>
        <w:gridCol w:w="109"/>
        <w:gridCol w:w="290"/>
        <w:gridCol w:w="848"/>
        <w:gridCol w:w="149"/>
        <w:gridCol w:w="109"/>
        <w:gridCol w:w="109"/>
        <w:gridCol w:w="109"/>
        <w:gridCol w:w="504"/>
        <w:gridCol w:w="504"/>
        <w:gridCol w:w="506"/>
        <w:gridCol w:w="109"/>
        <w:gridCol w:w="109"/>
        <w:gridCol w:w="109"/>
        <w:gridCol w:w="454"/>
        <w:gridCol w:w="1560"/>
        <w:gridCol w:w="344"/>
      </w:tblGrid>
      <w:tr>
        <w:trPr/>
        <w:tc>
          <w:tcPr>
            <w:tcW w:w="86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Shares</w:t>
            </w:r>
          </w:p>
          <w:p>
            <w:pPr>
              <w:pStyle w:val="TableContents"/>
              <w:bidi w:val="0"/>
              <w:spacing w:lineRule="auto" w:line="240" w:before="0" w:after="0"/>
              <w:jc w:val="center"/>
              <w:rPr/>
            </w:pPr>
            <w:r>
              <w:rPr>
                <w:rFonts w:ascii="Times New Roman;serif" w:hAnsi="Times New Roman;serif"/>
                <w:b/>
                <w:color w:val="000000"/>
                <w:sz w:val="20"/>
              </w:rPr>
              <w:t>Repurchased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 as Part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Publicly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Announced Plans</w:t>
            </w:r>
          </w:p>
          <w:p>
            <w:pPr>
              <w:pStyle w:val="TableContents"/>
              <w:bidi w:val="0"/>
              <w:spacing w:lineRule="auto" w:line="240" w:before="0" w:after="0"/>
              <w:jc w:val="center"/>
              <w:rPr/>
            </w:pPr>
            <w:r>
              <w:rPr>
                <w:rFonts w:ascii="Times New Roman;serif" w:hAnsi="Times New Roman;serif"/>
                <w:b/>
                <w:color w:val="000000"/>
                <w:sz w:val="20"/>
              </w:rPr>
              <w:t>or Programs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Approximate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 Value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That May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Yet Be Purchased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Under the Plans</w:t>
            </w:r>
          </w:p>
          <w:p>
            <w:pPr>
              <w:pStyle w:val="TableContents"/>
              <w:bidi w:val="0"/>
              <w:spacing w:lineRule="auto" w:line="240" w:before="0" w:after="0"/>
              <w:jc w:val="center"/>
              <w:rPr/>
            </w:pPr>
            <w:r>
              <w:rPr>
                <w:rFonts w:ascii="Times New Roman;serif" w:hAnsi="Times New Roman;serif"/>
                <w:b/>
                <w:color w:val="000000"/>
                <w:sz w:val="20"/>
              </w:rPr>
              <w:t>or Programs (in thousands)</w:t>
            </w:r>
            <w:r>
              <w:rPr>
                <w:rFonts w:ascii="Times New Roman;serif" w:hAnsi="Times New Roman;serif"/>
                <w:b/>
                <w:color w:val="000000"/>
                <w:sz w:val="13"/>
              </w:rPr>
              <w:t>(2)</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28, 2026 to April 24,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57,617 </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25, 2026 to May 22,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23, 2026 to June 26,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57,617 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4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57,617 </w:t>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(1)Represents shares of our common stock withheld during the thirteen weeks ended June 26, 2026 to satisfy tax withholding requirements related to restricted shares of our common stock awarded to our officers and key employees resulting from either elections under 83(b) of the Internal Revenue Code of 1986, as amended, or upon vesting of such awards, and shares purchased as part of a publicly announced program included in column 3.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(2)In November 2023, we announced a two-year share repurchase program in an amount up to $100.0 million. In February 2026, the board of directors authorized the extension of the share repurchase program for ten years, subject to that same $100.0 million limit.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Rule 10b5-1 and Non-Rule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covered by this report, none of our directors and officers (as defined in Rule 16a-1(f) of the Securities Exchange Act of 1934, as amended) adopted, terminated or modified any contract, instruction or written plan for the purchase or sale of our common stock that was intended to satisfy the affirmative defense conditions of Exchange Act Rule 10b5-1(c) or any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4"/>
        <w:gridCol w:w="302"/>
        <w:gridCol w:w="303"/>
        <w:gridCol w:w="109"/>
        <w:gridCol w:w="109"/>
        <w:gridCol w:w="109"/>
        <w:gridCol w:w="2604"/>
        <w:gridCol w:w="2604"/>
        <w:gridCol w:w="3721"/>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hef-10qxex31x1062620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hef-10qxex31x206262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302 of the Sarbanes-Oxley Act of 2002.</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hef-10qxex32x1062620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906 of the Sarbanes-Oxley Act of 2002.</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hef-10qxex32x206262026.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906 of the Sarbanes-Oxley Act of 2002.</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9"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on the Interactive Data File because its XBRL tags are embedded within the Inline XBRL document</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July 29, 2026.</w:t>
      </w:r>
    </w:p>
    <w:tbl>
      <w:tblPr>
        <w:tblW w:w="5482"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911"/>
        <w:gridCol w:w="911"/>
        <w:gridCol w:w="129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CHEFS’ WAREHOUSE, INC.</w:t>
            </w:r>
          </w:p>
        </w:tc>
      </w:tr>
      <w:tr>
        <w:trPr/>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(Registrant)</w:t>
            </w:r>
          </w:p>
        </w:tc>
      </w:tr>
      <w:tr>
        <w:trPr/>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Leddy</w:t>
            </w:r>
          </w:p>
        </w:tc>
      </w:tr>
      <w:tr>
        <w:trPr/>
        <w:tc>
          <w:tcPr>
            <w:tcW w:w="23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Leddy</w:t>
            </w:r>
          </w:p>
        </w:tc>
      </w:tr>
      <w:tr>
        <w:trPr/>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McCauley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McCauley</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 Christopher Pappas, certify that:</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The Chefs’ Warehouse, Inc.;</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 13a-15(f) and Rule 15d-15(f)) for the registrant and have:</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312"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1198"/>
        <w:gridCol w:w="1198"/>
        <w:gridCol w:w="1698"/>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Pappas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Pappas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 James Leddy, certify that:</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The Chefs’ Warehouse, Inc.;</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 13a-15(f) and Rule 15d-15(f)) for the registrant and have:</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32"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707"/>
        <w:gridCol w:w="707"/>
        <w:gridCol w:w="100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Leddy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Leddy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The Chefs’ Warehouse, Inc. (the “Company”) on Form 10-Q for the quarter ended June 26, 2026, as filed with the Securities and Exchange Commission on the date hereof (the “Report”), I, Christopher Pappas, President and Chief Executive Officer of the Company, certify, pursuant to 18 U.S.C. § 1350, as adopted pursuant to § 906 of the Sarbanes-Oxley Act of 2002, that:</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207"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1198"/>
        <w:gridCol w:w="1198"/>
        <w:gridCol w:w="169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Pappas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Pappas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The Chefs’ Warehouse, Inc. (the “Company”) on Form 10-Q for the quarter ended June 26, 2026, as filed with the Securities and Exchange Commission on the date hereof (the “Report”), I, James Leddy, Chief Financial Officer of the Company, certify, pursuant to 18 U.S.C. § 1350, as adopted pursuant to § 906 of the Sarbanes-Oxley Act of 2002, that:</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6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527"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707"/>
        <w:gridCol w:w="707"/>
        <w:gridCol w:w="100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Leddy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Leddy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10346</Words>
  <Characters>57786</Characters>
  <CharactersWithSpaces>67312</CharactersWithSpaces>
  <Paragraphs>1994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